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34E728" w14:textId="563F47EF" w:rsidR="0020776D" w:rsidRPr="001F5812" w:rsidRDefault="000F398E" w:rsidP="002D6550">
      <w:pPr>
        <w:pStyle w:val="Commonwealth"/>
        <w:jc w:val="center"/>
      </w:pPr>
      <w:r w:rsidRPr="001F5812">
        <w:rPr>
          <w:noProof/>
        </w:rPr>
        <w:drawing>
          <wp:inline distT="0" distB="0" distL="0" distR="0" wp14:anchorId="7A3F56CC" wp14:editId="6AF1B87B">
            <wp:extent cx="914444" cy="901974"/>
            <wp:effectExtent l="0" t="0" r="0" b="0"/>
            <wp:docPr id="4" name="Picture 4" title="Seal of the Commonw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png"/>
                    <pic:cNvPicPr/>
                  </pic:nvPicPr>
                  <pic:blipFill>
                    <a:blip r:embed="rId8">
                      <a:extLst>
                        <a:ext uri="{28A0092B-C50C-407E-A947-70E740481C1C}">
                          <a14:useLocalDpi xmlns:a14="http://schemas.microsoft.com/office/drawing/2010/main" val="0"/>
                        </a:ext>
                      </a:extLst>
                    </a:blip>
                    <a:stretch>
                      <a:fillRect/>
                    </a:stretch>
                  </pic:blipFill>
                  <pic:spPr>
                    <a:xfrm>
                      <a:off x="0" y="0"/>
                      <a:ext cx="914444" cy="901974"/>
                    </a:xfrm>
                    <a:prstGeom prst="rect">
                      <a:avLst/>
                    </a:prstGeom>
                  </pic:spPr>
                </pic:pic>
              </a:graphicData>
            </a:graphic>
          </wp:inline>
        </w:drawing>
      </w:r>
      <w:r w:rsidRPr="001F5812">
        <w:br/>
      </w:r>
      <w:r w:rsidR="0020776D" w:rsidRPr="001F5812">
        <w:t>Commonwealth of Virginia</w:t>
      </w:r>
    </w:p>
    <w:p w14:paraId="0094DECC" w14:textId="4194D473" w:rsidR="0020776D" w:rsidRPr="001F5812" w:rsidRDefault="0020776D" w:rsidP="002D6550">
      <w:pPr>
        <w:pStyle w:val="Commonwealth"/>
        <w:jc w:val="center"/>
        <w:rPr>
          <w:rFonts w:ascii="Minion Pro" w:hAnsi="Minion Pro"/>
          <w:i/>
        </w:rPr>
      </w:pPr>
      <w:r w:rsidRPr="001F5812">
        <w:rPr>
          <w:rFonts w:ascii="Minion Pro" w:hAnsi="Minion Pro"/>
          <w:i/>
        </w:rPr>
        <w:t>Virginia Board for People with Disabilities</w:t>
      </w:r>
    </w:p>
    <w:p w14:paraId="6A33F5D9" w14:textId="0780F104" w:rsidR="0020776D" w:rsidRPr="001F5812" w:rsidRDefault="0020776D" w:rsidP="0020776D">
      <w:pPr>
        <w:pStyle w:val="Commonwealth"/>
      </w:pPr>
    </w:p>
    <w:tbl>
      <w:tblPr>
        <w:tblW w:w="10440" w:type="dxa"/>
        <w:tblInd w:w="18" w:type="dxa"/>
        <w:tblLook w:val="04A0" w:firstRow="1" w:lastRow="0" w:firstColumn="1" w:lastColumn="0" w:noHBand="0" w:noVBand="1"/>
      </w:tblPr>
      <w:tblGrid>
        <w:gridCol w:w="3150"/>
        <w:gridCol w:w="4050"/>
        <w:gridCol w:w="3240"/>
      </w:tblGrid>
      <w:tr w:rsidR="0020776D" w:rsidRPr="001F5812" w14:paraId="7A6988FB" w14:textId="77777777" w:rsidTr="004113F7">
        <w:tc>
          <w:tcPr>
            <w:tcW w:w="3150" w:type="dxa"/>
          </w:tcPr>
          <w:p w14:paraId="666B7972" w14:textId="6D752944" w:rsidR="0020776D" w:rsidRPr="001F5812" w:rsidRDefault="006F54E5" w:rsidP="00B342A2">
            <w:pPr>
              <w:pStyle w:val="VBPDHeaderInfo"/>
              <w:rPr>
                <w:b/>
                <w:i w:val="0"/>
              </w:rPr>
            </w:pPr>
            <w:r w:rsidRPr="001F5812">
              <w:rPr>
                <w:b/>
                <w:i w:val="0"/>
              </w:rPr>
              <w:t>Mary McAdam</w:t>
            </w:r>
          </w:p>
        </w:tc>
        <w:tc>
          <w:tcPr>
            <w:tcW w:w="4050" w:type="dxa"/>
          </w:tcPr>
          <w:p w14:paraId="441EFA22" w14:textId="77777777" w:rsidR="0020776D" w:rsidRPr="001F5812" w:rsidRDefault="0020776D" w:rsidP="0036466C">
            <w:pPr>
              <w:pStyle w:val="VBPDHeaderInfo"/>
              <w:jc w:val="center"/>
            </w:pPr>
            <w:r w:rsidRPr="001F5812">
              <w:t>Washington Building, Capitol Square</w:t>
            </w:r>
          </w:p>
        </w:tc>
        <w:tc>
          <w:tcPr>
            <w:tcW w:w="3240" w:type="dxa"/>
          </w:tcPr>
          <w:p w14:paraId="736EBD85" w14:textId="77777777" w:rsidR="0020776D" w:rsidRPr="001F5812" w:rsidRDefault="0020776D" w:rsidP="00236084">
            <w:pPr>
              <w:pStyle w:val="VBPDHeaderInfo"/>
              <w:jc w:val="right"/>
              <w:rPr>
                <w:i w:val="0"/>
              </w:rPr>
            </w:pPr>
            <w:r w:rsidRPr="001F5812">
              <w:rPr>
                <w:i w:val="0"/>
              </w:rPr>
              <w:t>804-786-0016 (TTY/Voice)</w:t>
            </w:r>
          </w:p>
        </w:tc>
      </w:tr>
      <w:tr w:rsidR="0020776D" w:rsidRPr="001F5812" w14:paraId="234F09CA" w14:textId="77777777" w:rsidTr="004113F7">
        <w:tc>
          <w:tcPr>
            <w:tcW w:w="3150" w:type="dxa"/>
          </w:tcPr>
          <w:p w14:paraId="3DB8F427" w14:textId="3F89C830" w:rsidR="0020776D" w:rsidRPr="001F5812" w:rsidRDefault="0020776D" w:rsidP="00236084">
            <w:pPr>
              <w:pStyle w:val="VBPDHeaderInfo"/>
            </w:pPr>
            <w:r w:rsidRPr="001F5812">
              <w:t>Chair</w:t>
            </w:r>
          </w:p>
        </w:tc>
        <w:tc>
          <w:tcPr>
            <w:tcW w:w="4050" w:type="dxa"/>
          </w:tcPr>
          <w:p w14:paraId="7B7B5674" w14:textId="77777777" w:rsidR="0020776D" w:rsidRPr="001F5812" w:rsidRDefault="0020776D" w:rsidP="0036466C">
            <w:pPr>
              <w:pStyle w:val="VBPDHeaderInfo"/>
              <w:jc w:val="center"/>
            </w:pPr>
            <w:r w:rsidRPr="001F5812">
              <w:t>1100 Bank Street, 7th Floor</w:t>
            </w:r>
          </w:p>
        </w:tc>
        <w:tc>
          <w:tcPr>
            <w:tcW w:w="3240" w:type="dxa"/>
          </w:tcPr>
          <w:p w14:paraId="45B09B9F" w14:textId="77777777" w:rsidR="0020776D" w:rsidRPr="001F5812" w:rsidRDefault="0020776D" w:rsidP="00236084">
            <w:pPr>
              <w:pStyle w:val="VBPDHeaderInfo"/>
              <w:jc w:val="right"/>
              <w:rPr>
                <w:i w:val="0"/>
              </w:rPr>
            </w:pPr>
            <w:r w:rsidRPr="001F5812">
              <w:rPr>
                <w:i w:val="0"/>
              </w:rPr>
              <w:t>1-800-846-4464 (TTY/ Voice)</w:t>
            </w:r>
          </w:p>
        </w:tc>
      </w:tr>
      <w:tr w:rsidR="0020776D" w:rsidRPr="001F5812" w14:paraId="1A468F5F" w14:textId="77777777" w:rsidTr="004113F7">
        <w:tc>
          <w:tcPr>
            <w:tcW w:w="3150" w:type="dxa"/>
          </w:tcPr>
          <w:p w14:paraId="2A375ADC" w14:textId="77777777" w:rsidR="0020776D" w:rsidRPr="001F5812" w:rsidRDefault="008955DA" w:rsidP="00B342A2">
            <w:pPr>
              <w:pStyle w:val="VBPDHeaderInfo"/>
              <w:rPr>
                <w:b/>
                <w:i w:val="0"/>
              </w:rPr>
            </w:pPr>
            <w:r w:rsidRPr="001F5812">
              <w:rPr>
                <w:b/>
                <w:i w:val="0"/>
              </w:rPr>
              <w:t>Rachel Loughlin</w:t>
            </w:r>
          </w:p>
        </w:tc>
        <w:tc>
          <w:tcPr>
            <w:tcW w:w="4050" w:type="dxa"/>
          </w:tcPr>
          <w:p w14:paraId="28A5608C" w14:textId="2CDF5364" w:rsidR="0020776D" w:rsidRPr="001F5812" w:rsidRDefault="0020776D" w:rsidP="0036466C">
            <w:pPr>
              <w:pStyle w:val="VBPDHeaderInfo"/>
              <w:jc w:val="center"/>
            </w:pPr>
            <w:r w:rsidRPr="001F5812">
              <w:t>Richmond, Virginia</w:t>
            </w:r>
            <w:r w:rsidR="007C7817" w:rsidRPr="001F5812">
              <w:t xml:space="preserve"> </w:t>
            </w:r>
            <w:r w:rsidRPr="001F5812">
              <w:t>23219</w:t>
            </w:r>
          </w:p>
        </w:tc>
        <w:tc>
          <w:tcPr>
            <w:tcW w:w="3240" w:type="dxa"/>
          </w:tcPr>
          <w:p w14:paraId="6B759E4B" w14:textId="77777777" w:rsidR="0020776D" w:rsidRPr="001F5812" w:rsidRDefault="0020776D" w:rsidP="00236084">
            <w:pPr>
              <w:pStyle w:val="VBPDHeaderInfo"/>
              <w:jc w:val="right"/>
              <w:rPr>
                <w:i w:val="0"/>
              </w:rPr>
            </w:pPr>
            <w:r w:rsidRPr="001F5812">
              <w:rPr>
                <w:i w:val="0"/>
              </w:rPr>
              <w:t>804-786-1118 (Fax)</w:t>
            </w:r>
          </w:p>
        </w:tc>
      </w:tr>
      <w:tr w:rsidR="0020776D" w:rsidRPr="001F5812" w14:paraId="028DDDE7" w14:textId="77777777" w:rsidTr="004113F7">
        <w:tc>
          <w:tcPr>
            <w:tcW w:w="3150" w:type="dxa"/>
          </w:tcPr>
          <w:p w14:paraId="1FF6E730" w14:textId="6ECB78C1" w:rsidR="0020776D" w:rsidRPr="001F5812" w:rsidRDefault="0020776D" w:rsidP="00236084">
            <w:pPr>
              <w:pStyle w:val="VBPDHeaderInfo"/>
            </w:pPr>
            <w:r w:rsidRPr="001F5812">
              <w:t>Vice Chair</w:t>
            </w:r>
          </w:p>
        </w:tc>
        <w:tc>
          <w:tcPr>
            <w:tcW w:w="4050" w:type="dxa"/>
          </w:tcPr>
          <w:p w14:paraId="5E0FCE57" w14:textId="77777777" w:rsidR="0020776D" w:rsidRPr="001F5812" w:rsidRDefault="0020776D" w:rsidP="0020776D">
            <w:pPr>
              <w:pStyle w:val="VBPDHeaderInfo"/>
            </w:pPr>
          </w:p>
        </w:tc>
        <w:tc>
          <w:tcPr>
            <w:tcW w:w="3240" w:type="dxa"/>
          </w:tcPr>
          <w:p w14:paraId="1F6BB866" w14:textId="77777777" w:rsidR="0020776D" w:rsidRPr="001F5812" w:rsidRDefault="0020776D" w:rsidP="00236084">
            <w:pPr>
              <w:pStyle w:val="VBPDHeaderInfo"/>
              <w:jc w:val="right"/>
              <w:rPr>
                <w:i w:val="0"/>
              </w:rPr>
            </w:pPr>
            <w:r w:rsidRPr="001F5812">
              <w:rPr>
                <w:i w:val="0"/>
              </w:rPr>
              <w:t>info@vbpd.virginia.gov</w:t>
            </w:r>
          </w:p>
        </w:tc>
      </w:tr>
      <w:tr w:rsidR="0020776D" w:rsidRPr="001F5812" w14:paraId="1B9D2B27" w14:textId="77777777" w:rsidTr="004113F7">
        <w:tc>
          <w:tcPr>
            <w:tcW w:w="3150" w:type="dxa"/>
          </w:tcPr>
          <w:p w14:paraId="178686EA" w14:textId="332DCE50" w:rsidR="0020776D" w:rsidRPr="001F5812" w:rsidRDefault="008955DA" w:rsidP="00B342A2">
            <w:pPr>
              <w:pStyle w:val="VBPDHeaderInfo"/>
              <w:rPr>
                <w:b/>
                <w:i w:val="0"/>
              </w:rPr>
            </w:pPr>
            <w:r w:rsidRPr="001F5812">
              <w:rPr>
                <w:b/>
                <w:i w:val="0"/>
              </w:rPr>
              <w:t>Jamie Snead</w:t>
            </w:r>
          </w:p>
        </w:tc>
        <w:tc>
          <w:tcPr>
            <w:tcW w:w="4050" w:type="dxa"/>
          </w:tcPr>
          <w:p w14:paraId="1EF287FE" w14:textId="168EDFDD" w:rsidR="0020776D" w:rsidRPr="001F5812" w:rsidRDefault="0020776D" w:rsidP="0020776D">
            <w:pPr>
              <w:pStyle w:val="VBPDHeaderInfo"/>
            </w:pPr>
          </w:p>
        </w:tc>
        <w:tc>
          <w:tcPr>
            <w:tcW w:w="3240" w:type="dxa"/>
          </w:tcPr>
          <w:p w14:paraId="5957E29B" w14:textId="77777777" w:rsidR="0020776D" w:rsidRPr="001F5812" w:rsidRDefault="0020776D" w:rsidP="00236084">
            <w:pPr>
              <w:pStyle w:val="VBPDHeaderInfo"/>
              <w:jc w:val="right"/>
              <w:rPr>
                <w:i w:val="0"/>
              </w:rPr>
            </w:pPr>
            <w:r w:rsidRPr="001F5812">
              <w:rPr>
                <w:i w:val="0"/>
              </w:rPr>
              <w:t>www.vaboard.org</w:t>
            </w:r>
          </w:p>
        </w:tc>
      </w:tr>
      <w:tr w:rsidR="0020776D" w:rsidRPr="001F5812" w14:paraId="47D97ED5" w14:textId="77777777" w:rsidTr="004113F7">
        <w:tc>
          <w:tcPr>
            <w:tcW w:w="3150" w:type="dxa"/>
          </w:tcPr>
          <w:p w14:paraId="778D3EA6" w14:textId="77777777" w:rsidR="0020776D" w:rsidRPr="001F5812" w:rsidRDefault="0020776D" w:rsidP="00236084">
            <w:pPr>
              <w:pStyle w:val="VBPDHeaderInfo"/>
            </w:pPr>
            <w:r w:rsidRPr="001F5812">
              <w:t>Secretary</w:t>
            </w:r>
          </w:p>
        </w:tc>
        <w:tc>
          <w:tcPr>
            <w:tcW w:w="4050" w:type="dxa"/>
          </w:tcPr>
          <w:p w14:paraId="00A94B16" w14:textId="389464CD" w:rsidR="0020776D" w:rsidRPr="001F5812" w:rsidRDefault="0020776D" w:rsidP="0020776D">
            <w:pPr>
              <w:pStyle w:val="VBPDHeaderInfo"/>
            </w:pPr>
          </w:p>
        </w:tc>
        <w:tc>
          <w:tcPr>
            <w:tcW w:w="3240" w:type="dxa"/>
          </w:tcPr>
          <w:p w14:paraId="79B24A4E" w14:textId="77777777" w:rsidR="0020776D" w:rsidRPr="001F5812" w:rsidRDefault="0020776D" w:rsidP="0020776D">
            <w:pPr>
              <w:pStyle w:val="VBPDHeaderInfo"/>
              <w:rPr>
                <w:i w:val="0"/>
              </w:rPr>
            </w:pPr>
          </w:p>
        </w:tc>
      </w:tr>
      <w:tr w:rsidR="0020776D" w:rsidRPr="001F5812" w14:paraId="05D5748C" w14:textId="77777777" w:rsidTr="004113F7">
        <w:tc>
          <w:tcPr>
            <w:tcW w:w="3150" w:type="dxa"/>
          </w:tcPr>
          <w:p w14:paraId="7DE3975A" w14:textId="77777777" w:rsidR="0020776D" w:rsidRPr="001F5812" w:rsidRDefault="0020776D" w:rsidP="00236084">
            <w:pPr>
              <w:pStyle w:val="VBPDHeaderInfo"/>
              <w:rPr>
                <w:b/>
                <w:i w:val="0"/>
              </w:rPr>
            </w:pPr>
            <w:r w:rsidRPr="001F5812">
              <w:rPr>
                <w:b/>
                <w:i w:val="0"/>
              </w:rPr>
              <w:t>Heidi L. Lawyer</w:t>
            </w:r>
          </w:p>
        </w:tc>
        <w:tc>
          <w:tcPr>
            <w:tcW w:w="4050" w:type="dxa"/>
          </w:tcPr>
          <w:p w14:paraId="1F326011" w14:textId="77777777" w:rsidR="0020776D" w:rsidRPr="001F5812" w:rsidRDefault="0020776D" w:rsidP="0020776D">
            <w:pPr>
              <w:pStyle w:val="VBPDHeaderInfo"/>
            </w:pPr>
          </w:p>
        </w:tc>
        <w:tc>
          <w:tcPr>
            <w:tcW w:w="3240" w:type="dxa"/>
          </w:tcPr>
          <w:p w14:paraId="6A9C3621" w14:textId="77777777" w:rsidR="0020776D" w:rsidRPr="001F5812" w:rsidRDefault="0020776D" w:rsidP="0020776D">
            <w:pPr>
              <w:pStyle w:val="VBPDHeaderInfo"/>
              <w:rPr>
                <w:i w:val="0"/>
              </w:rPr>
            </w:pPr>
          </w:p>
        </w:tc>
      </w:tr>
      <w:tr w:rsidR="0020776D" w:rsidRPr="001F5812" w14:paraId="797C4E8A" w14:textId="77777777" w:rsidTr="004113F7">
        <w:tc>
          <w:tcPr>
            <w:tcW w:w="3150" w:type="dxa"/>
          </w:tcPr>
          <w:p w14:paraId="68E4C931" w14:textId="774CADA7" w:rsidR="0020776D" w:rsidRPr="001F5812" w:rsidRDefault="0020776D" w:rsidP="00236084">
            <w:pPr>
              <w:pStyle w:val="VBPDHeaderInfo"/>
            </w:pPr>
            <w:r w:rsidRPr="001F5812">
              <w:t>Executive Director</w:t>
            </w:r>
          </w:p>
        </w:tc>
        <w:tc>
          <w:tcPr>
            <w:tcW w:w="4050" w:type="dxa"/>
          </w:tcPr>
          <w:p w14:paraId="2C074EB1" w14:textId="4100862D" w:rsidR="0020776D" w:rsidRPr="001F5812" w:rsidRDefault="0020776D" w:rsidP="0020776D">
            <w:pPr>
              <w:pStyle w:val="VBPDHeaderInfo"/>
            </w:pPr>
          </w:p>
        </w:tc>
        <w:tc>
          <w:tcPr>
            <w:tcW w:w="3240" w:type="dxa"/>
          </w:tcPr>
          <w:p w14:paraId="2F62B9BD" w14:textId="77777777" w:rsidR="0020776D" w:rsidRPr="001F5812" w:rsidRDefault="0020776D" w:rsidP="0020776D">
            <w:pPr>
              <w:pStyle w:val="VBPDHeaderInfo"/>
              <w:rPr>
                <w:i w:val="0"/>
              </w:rPr>
            </w:pPr>
          </w:p>
        </w:tc>
      </w:tr>
    </w:tbl>
    <w:p w14:paraId="30DDFDE4" w14:textId="48500F4C" w:rsidR="00320BF0" w:rsidRPr="001F5812" w:rsidRDefault="00D47C9E" w:rsidP="002D6550">
      <w:pPr>
        <w:spacing w:after="0" w:line="240" w:lineRule="auto"/>
        <w:jc w:val="center"/>
        <w:rPr>
          <w:rFonts w:ascii="Calibri" w:hAnsi="Calibri"/>
          <w:i w:val="0"/>
          <w:color w:val="auto"/>
          <w:szCs w:val="24"/>
          <w:lang w:bidi="ar-SA"/>
        </w:rPr>
      </w:pPr>
      <w:r w:rsidRPr="001F5812">
        <w:rPr>
          <w:rFonts w:ascii="Calibri" w:hAnsi="Calibri"/>
          <w:i w:val="0"/>
          <w:color w:val="auto"/>
          <w:szCs w:val="24"/>
          <w:lang w:bidi="ar-SA"/>
        </w:rPr>
        <w:t>March</w:t>
      </w:r>
      <w:r w:rsidR="002D6550" w:rsidRPr="001F5812">
        <w:rPr>
          <w:rFonts w:ascii="Calibri" w:hAnsi="Calibri"/>
          <w:i w:val="0"/>
          <w:color w:val="auto"/>
          <w:szCs w:val="24"/>
          <w:lang w:bidi="ar-SA"/>
        </w:rPr>
        <w:t xml:space="preserve"> 19</w:t>
      </w:r>
      <w:r w:rsidR="008955DA" w:rsidRPr="001F5812">
        <w:rPr>
          <w:rFonts w:ascii="Calibri" w:hAnsi="Calibri"/>
          <w:i w:val="0"/>
          <w:color w:val="auto"/>
          <w:szCs w:val="24"/>
          <w:lang w:bidi="ar-SA"/>
        </w:rPr>
        <w:t>, 2019</w:t>
      </w:r>
    </w:p>
    <w:p w14:paraId="4F61F41C" w14:textId="0D93E27D" w:rsidR="00320BF0" w:rsidRPr="001F5812" w:rsidRDefault="00320BF0" w:rsidP="00320BF0">
      <w:pPr>
        <w:spacing w:after="0" w:line="240" w:lineRule="auto"/>
        <w:rPr>
          <w:rFonts w:ascii="Calibri" w:hAnsi="Calibri"/>
          <w:i w:val="0"/>
          <w:color w:val="auto"/>
          <w:szCs w:val="24"/>
          <w:lang w:bidi="ar-SA"/>
        </w:rPr>
      </w:pPr>
    </w:p>
    <w:p w14:paraId="637F3365" w14:textId="77777777" w:rsidR="006A7FF2" w:rsidRPr="001F5812" w:rsidRDefault="00B73D8E" w:rsidP="000B0FA4">
      <w:pPr>
        <w:spacing w:after="0" w:line="240" w:lineRule="auto"/>
        <w:outlineLvl w:val="0"/>
        <w:rPr>
          <w:rStyle w:val="Hyperlink"/>
          <w:rFonts w:asciiTheme="minorHAnsi" w:hAnsiTheme="minorHAnsi" w:cstheme="minorHAnsi"/>
          <w:i w:val="0"/>
          <w:szCs w:val="24"/>
        </w:rPr>
      </w:pPr>
      <w:r w:rsidRPr="001F5812">
        <w:rPr>
          <w:rFonts w:asciiTheme="minorHAnsi" w:hAnsiTheme="minorHAnsi" w:cstheme="minorHAnsi"/>
          <w:i w:val="0"/>
          <w:color w:val="auto"/>
          <w:szCs w:val="24"/>
        </w:rPr>
        <w:t xml:space="preserve"> TO: </w:t>
      </w:r>
      <w:r w:rsidRPr="001F5812">
        <w:rPr>
          <w:rFonts w:asciiTheme="minorHAnsi" w:hAnsiTheme="minorHAnsi" w:cstheme="minorHAnsi"/>
          <w:i w:val="0"/>
          <w:color w:val="auto"/>
          <w:szCs w:val="24"/>
        </w:rPr>
        <w:tab/>
      </w:r>
      <w:r w:rsidR="00DF3200" w:rsidRPr="001F5812">
        <w:rPr>
          <w:rFonts w:asciiTheme="minorHAnsi" w:hAnsiTheme="minorHAnsi" w:cstheme="minorHAnsi"/>
          <w:i w:val="0"/>
          <w:color w:val="auto"/>
          <w:szCs w:val="24"/>
        </w:rPr>
        <w:tab/>
      </w:r>
      <w:hyperlink r:id="rId9" w:history="1">
        <w:r w:rsidR="002D6550" w:rsidRPr="001F5812">
          <w:rPr>
            <w:rStyle w:val="Hyperlink"/>
            <w:rFonts w:asciiTheme="minorHAnsi" w:hAnsiTheme="minorHAnsi" w:cstheme="minorHAnsi"/>
            <w:i w:val="0"/>
            <w:szCs w:val="24"/>
          </w:rPr>
          <w:t>HCBSComments@dmas.virginia.gov</w:t>
        </w:r>
      </w:hyperlink>
    </w:p>
    <w:p w14:paraId="511DEA3F" w14:textId="21E396A4" w:rsidR="00B73D8E" w:rsidRPr="001F5812" w:rsidRDefault="00B73D8E" w:rsidP="000B0FA4">
      <w:pPr>
        <w:spacing w:after="0" w:line="240" w:lineRule="auto"/>
        <w:ind w:left="1440"/>
        <w:outlineLvl w:val="0"/>
        <w:rPr>
          <w:rFonts w:asciiTheme="minorHAnsi" w:hAnsiTheme="minorHAnsi" w:cstheme="minorHAnsi"/>
          <w:i w:val="0"/>
          <w:color w:val="auto"/>
          <w:szCs w:val="24"/>
        </w:rPr>
      </w:pPr>
      <w:r w:rsidRPr="001F5812">
        <w:rPr>
          <w:rFonts w:asciiTheme="minorHAnsi" w:hAnsiTheme="minorHAnsi" w:cstheme="minorHAnsi"/>
          <w:i w:val="0"/>
          <w:color w:val="auto"/>
          <w:szCs w:val="24"/>
        </w:rPr>
        <w:t xml:space="preserve">Department of </w:t>
      </w:r>
      <w:r w:rsidR="00D47C9E" w:rsidRPr="001F5812">
        <w:rPr>
          <w:rFonts w:asciiTheme="minorHAnsi" w:hAnsiTheme="minorHAnsi" w:cstheme="minorHAnsi"/>
          <w:i w:val="0"/>
          <w:color w:val="auto"/>
          <w:szCs w:val="24"/>
        </w:rPr>
        <w:t xml:space="preserve">Medical Assistance </w:t>
      </w:r>
      <w:r w:rsidR="00091135" w:rsidRPr="001F5812">
        <w:rPr>
          <w:rFonts w:asciiTheme="minorHAnsi" w:hAnsiTheme="minorHAnsi" w:cstheme="minorHAnsi"/>
          <w:i w:val="0"/>
          <w:color w:val="auto"/>
          <w:szCs w:val="24"/>
        </w:rPr>
        <w:t>Services</w:t>
      </w:r>
    </w:p>
    <w:p w14:paraId="5FE82757" w14:textId="3316C91A" w:rsidR="00B73D8E" w:rsidRPr="001F5812" w:rsidRDefault="00B73D8E" w:rsidP="000B0FA4">
      <w:pPr>
        <w:spacing w:after="0" w:line="240" w:lineRule="auto"/>
        <w:outlineLvl w:val="0"/>
        <w:rPr>
          <w:rFonts w:asciiTheme="minorHAnsi" w:hAnsiTheme="minorHAnsi" w:cstheme="minorHAnsi"/>
          <w:i w:val="0"/>
          <w:color w:val="auto"/>
          <w:szCs w:val="24"/>
        </w:rPr>
      </w:pPr>
      <w:r w:rsidRPr="001F5812">
        <w:rPr>
          <w:rFonts w:asciiTheme="minorHAnsi" w:hAnsiTheme="minorHAnsi" w:cstheme="minorHAnsi"/>
          <w:i w:val="0"/>
          <w:color w:val="auto"/>
          <w:szCs w:val="24"/>
        </w:rPr>
        <w:t xml:space="preserve">FROM: </w:t>
      </w:r>
      <w:r w:rsidR="00DF3200" w:rsidRPr="001F5812">
        <w:rPr>
          <w:rFonts w:asciiTheme="minorHAnsi" w:hAnsiTheme="minorHAnsi" w:cstheme="minorHAnsi"/>
          <w:i w:val="0"/>
          <w:color w:val="auto"/>
          <w:szCs w:val="24"/>
        </w:rPr>
        <w:tab/>
      </w:r>
      <w:r w:rsidRPr="001F5812">
        <w:rPr>
          <w:rFonts w:asciiTheme="minorHAnsi" w:hAnsiTheme="minorHAnsi" w:cstheme="minorHAnsi"/>
          <w:i w:val="0"/>
          <w:color w:val="auto"/>
          <w:szCs w:val="24"/>
        </w:rPr>
        <w:t>Heidi L. Lawyer</w:t>
      </w:r>
      <w:r w:rsidR="002D6550" w:rsidRPr="001F5812">
        <w:rPr>
          <w:rFonts w:asciiTheme="minorHAnsi" w:hAnsiTheme="minorHAnsi" w:cstheme="minorHAnsi"/>
          <w:i w:val="0"/>
          <w:color w:val="auto"/>
          <w:szCs w:val="24"/>
        </w:rPr>
        <w:t xml:space="preserve"> </w:t>
      </w:r>
      <w:r w:rsidR="002D6550" w:rsidRPr="001F5812">
        <w:rPr>
          <w:rFonts w:asciiTheme="minorHAnsi" w:hAnsiTheme="minorHAnsi" w:cstheme="minorHAnsi"/>
          <w:i w:val="0"/>
          <w:noProof/>
          <w:color w:val="auto"/>
          <w:szCs w:val="24"/>
          <w:lang w:bidi="ar-SA"/>
        </w:rPr>
        <w:drawing>
          <wp:inline distT="0" distB="0" distL="0" distR="0" wp14:anchorId="4D5D6582" wp14:editId="27752403">
            <wp:extent cx="762000" cy="319217"/>
            <wp:effectExtent l="0" t="0" r="0" b="5080"/>
            <wp:docPr id="2" name="Picture 2" title="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idi_signatur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08757" cy="338804"/>
                    </a:xfrm>
                    <a:prstGeom prst="rect">
                      <a:avLst/>
                    </a:prstGeom>
                  </pic:spPr>
                </pic:pic>
              </a:graphicData>
            </a:graphic>
          </wp:inline>
        </w:drawing>
      </w:r>
    </w:p>
    <w:p w14:paraId="0C2DB4C7" w14:textId="77777777" w:rsidR="006A7FF2" w:rsidRPr="001F5812" w:rsidRDefault="006A7FF2" w:rsidP="000B0FA4">
      <w:pPr>
        <w:spacing w:after="0" w:line="240" w:lineRule="auto"/>
        <w:outlineLvl w:val="0"/>
        <w:rPr>
          <w:rFonts w:asciiTheme="minorHAnsi" w:hAnsiTheme="minorHAnsi" w:cstheme="minorHAnsi"/>
          <w:i w:val="0"/>
          <w:color w:val="auto"/>
          <w:szCs w:val="24"/>
        </w:rPr>
      </w:pPr>
    </w:p>
    <w:p w14:paraId="18D85F9A" w14:textId="42C546AD" w:rsidR="00B73D8E" w:rsidRPr="001F5812" w:rsidRDefault="00B73D8E" w:rsidP="000B0FA4">
      <w:pPr>
        <w:spacing w:after="0" w:line="240" w:lineRule="auto"/>
        <w:ind w:left="1440" w:hanging="1440"/>
        <w:outlineLvl w:val="0"/>
        <w:rPr>
          <w:rFonts w:asciiTheme="minorHAnsi" w:hAnsiTheme="minorHAnsi" w:cstheme="minorHAnsi"/>
          <w:i w:val="0"/>
          <w:color w:val="auto"/>
          <w:szCs w:val="24"/>
        </w:rPr>
      </w:pPr>
      <w:r w:rsidRPr="001F5812">
        <w:rPr>
          <w:rFonts w:asciiTheme="minorHAnsi" w:hAnsiTheme="minorHAnsi" w:cstheme="minorHAnsi"/>
          <w:i w:val="0"/>
          <w:color w:val="auto"/>
          <w:szCs w:val="24"/>
        </w:rPr>
        <w:t xml:space="preserve">RE: </w:t>
      </w:r>
      <w:r w:rsidRPr="001F5812">
        <w:rPr>
          <w:rFonts w:asciiTheme="minorHAnsi" w:hAnsiTheme="minorHAnsi" w:cstheme="minorHAnsi"/>
          <w:i w:val="0"/>
          <w:color w:val="auto"/>
          <w:szCs w:val="24"/>
        </w:rPr>
        <w:tab/>
        <w:t xml:space="preserve">Comment on Virginia’s </w:t>
      </w:r>
      <w:r w:rsidR="00D47C9E" w:rsidRPr="001F5812">
        <w:rPr>
          <w:rFonts w:asciiTheme="minorHAnsi" w:hAnsiTheme="minorHAnsi" w:cstheme="minorHAnsi"/>
          <w:i w:val="0"/>
          <w:color w:val="auto"/>
          <w:szCs w:val="24"/>
        </w:rPr>
        <w:t>Renewal A</w:t>
      </w:r>
      <w:r w:rsidRPr="001F5812">
        <w:rPr>
          <w:rFonts w:asciiTheme="minorHAnsi" w:hAnsiTheme="minorHAnsi" w:cstheme="minorHAnsi"/>
          <w:i w:val="0"/>
          <w:color w:val="auto"/>
          <w:szCs w:val="24"/>
        </w:rPr>
        <w:t>pplications for Amendments to its §1915(c) Home- and Community-Based Waivers for Individuals with Developmental Disabilities—Community Living Waiver</w:t>
      </w:r>
    </w:p>
    <w:p w14:paraId="253538F6" w14:textId="77777777" w:rsidR="002D6550" w:rsidRPr="001F5812" w:rsidRDefault="002D6550" w:rsidP="002D6550">
      <w:pPr>
        <w:spacing w:after="0" w:line="240" w:lineRule="auto"/>
        <w:ind w:left="1440" w:hanging="1440"/>
        <w:rPr>
          <w:rFonts w:asciiTheme="minorHAnsi" w:hAnsiTheme="minorHAnsi" w:cstheme="minorHAnsi"/>
          <w:i w:val="0"/>
          <w:color w:val="auto"/>
          <w:szCs w:val="24"/>
        </w:rPr>
      </w:pPr>
    </w:p>
    <w:p w14:paraId="180741B3" w14:textId="49E65EC2" w:rsidR="00D47C9E" w:rsidRPr="001F5812" w:rsidRDefault="00B73D8E" w:rsidP="00B56862">
      <w:pPr>
        <w:spacing w:line="240" w:lineRule="auto"/>
        <w:rPr>
          <w:rFonts w:asciiTheme="minorHAnsi" w:hAnsiTheme="minorHAnsi" w:cstheme="minorHAnsi"/>
          <w:i w:val="0"/>
          <w:color w:val="auto"/>
          <w:szCs w:val="24"/>
        </w:rPr>
      </w:pPr>
      <w:r w:rsidRPr="001F5812">
        <w:rPr>
          <w:rFonts w:asciiTheme="minorHAnsi" w:hAnsiTheme="minorHAnsi" w:cstheme="minorHAnsi"/>
          <w:i w:val="0"/>
          <w:color w:val="auto"/>
          <w:szCs w:val="24"/>
        </w:rPr>
        <w:t xml:space="preserve">I am writing to provide comments on behalf of the Virginia Board for People with Disabilities (the Board) regarding Virginia’s </w:t>
      </w:r>
      <w:r w:rsidR="00D47C9E" w:rsidRPr="001F5812">
        <w:rPr>
          <w:rFonts w:asciiTheme="minorHAnsi" w:hAnsiTheme="minorHAnsi" w:cstheme="minorHAnsi"/>
          <w:color w:val="auto"/>
        </w:rPr>
        <w:t>Request for a Renewal to a §1915(c) Home and Community-Based Services Wa</w:t>
      </w:r>
      <w:r w:rsidR="006D2A35" w:rsidRPr="001F5812">
        <w:rPr>
          <w:rFonts w:asciiTheme="minorHAnsi" w:hAnsiTheme="minorHAnsi" w:cstheme="minorHAnsi"/>
          <w:color w:val="auto"/>
        </w:rPr>
        <w:t xml:space="preserve">iver: Community Living Waiver. </w:t>
      </w:r>
      <w:r w:rsidR="00D47C9E" w:rsidRPr="001F5812">
        <w:rPr>
          <w:rFonts w:asciiTheme="minorHAnsi" w:hAnsiTheme="minorHAnsi" w:cstheme="minorHAnsi"/>
          <w:i w:val="0"/>
          <w:color w:val="auto"/>
          <w:szCs w:val="24"/>
        </w:rPr>
        <w:t>The Board appreciates t</w:t>
      </w:r>
      <w:r w:rsidR="006E17F2" w:rsidRPr="001F5812">
        <w:rPr>
          <w:rFonts w:asciiTheme="minorHAnsi" w:hAnsiTheme="minorHAnsi" w:cstheme="minorHAnsi"/>
          <w:i w:val="0"/>
          <w:color w:val="auto"/>
          <w:szCs w:val="24"/>
        </w:rPr>
        <w:t>he opportunity to provide input and appreciates that several of its recommendations made in 2016 on the applications for the Community Living, Family and Individual Supports, and Building Independence Waivers were adopted.</w:t>
      </w:r>
    </w:p>
    <w:p w14:paraId="07DCFB4E" w14:textId="6E1479EC" w:rsidR="00D47C9E" w:rsidRPr="001F5812" w:rsidRDefault="00D47C9E" w:rsidP="00B56862">
      <w:pPr>
        <w:spacing w:line="240" w:lineRule="auto"/>
        <w:rPr>
          <w:rFonts w:asciiTheme="minorHAnsi" w:hAnsiTheme="minorHAnsi" w:cstheme="minorHAnsi"/>
          <w:i w:val="0"/>
          <w:color w:val="auto"/>
          <w:szCs w:val="24"/>
        </w:rPr>
      </w:pPr>
      <w:r w:rsidRPr="001F5812">
        <w:rPr>
          <w:rFonts w:asciiTheme="minorHAnsi" w:hAnsiTheme="minorHAnsi" w:cstheme="minorHAnsi"/>
          <w:i w:val="0"/>
          <w:color w:val="auto"/>
          <w:szCs w:val="24"/>
        </w:rPr>
        <w:t>The Board continues to support the redesign of Virg</w:t>
      </w:r>
      <w:r w:rsidR="006D2A35" w:rsidRPr="001F5812">
        <w:rPr>
          <w:rFonts w:asciiTheme="minorHAnsi" w:hAnsiTheme="minorHAnsi" w:cstheme="minorHAnsi"/>
          <w:i w:val="0"/>
          <w:color w:val="auto"/>
          <w:szCs w:val="24"/>
        </w:rPr>
        <w:t xml:space="preserve">inia’s Medicaid Waiver System. </w:t>
      </w:r>
      <w:r w:rsidRPr="001F5812">
        <w:rPr>
          <w:rFonts w:asciiTheme="minorHAnsi" w:hAnsiTheme="minorHAnsi" w:cstheme="minorHAnsi"/>
          <w:i w:val="0"/>
          <w:color w:val="auto"/>
          <w:szCs w:val="24"/>
        </w:rPr>
        <w:t>The Board specifically supports changes included in the Waiver Renewal Application for the Community Living (CL) Waiver that:</w:t>
      </w:r>
    </w:p>
    <w:p w14:paraId="00B4C802" w14:textId="396251BE" w:rsidR="00D47C9E" w:rsidRPr="001F5812" w:rsidRDefault="00D47C9E" w:rsidP="00B56862">
      <w:pPr>
        <w:pStyle w:val="ListParagraph"/>
        <w:numPr>
          <w:ilvl w:val="0"/>
          <w:numId w:val="11"/>
        </w:numPr>
        <w:spacing w:line="240" w:lineRule="auto"/>
        <w:rPr>
          <w:rFonts w:asciiTheme="minorHAnsi" w:hAnsiTheme="minorHAnsi" w:cstheme="minorHAnsi"/>
          <w:i w:val="0"/>
          <w:color w:val="auto"/>
          <w:szCs w:val="24"/>
        </w:rPr>
      </w:pPr>
      <w:r w:rsidRPr="001F5812">
        <w:rPr>
          <w:rFonts w:asciiTheme="minorHAnsi" w:hAnsiTheme="minorHAnsi" w:cstheme="minorHAnsi"/>
          <w:i w:val="0"/>
          <w:color w:val="auto"/>
        </w:rPr>
        <w:t xml:space="preserve">Change the frequency of the administration of the supports intensity scale (SIS®) for individuals 22 years of age and older from three years to </w:t>
      </w:r>
      <w:r w:rsidR="00091135" w:rsidRPr="001F5812">
        <w:rPr>
          <w:rFonts w:asciiTheme="minorHAnsi" w:hAnsiTheme="minorHAnsi" w:cstheme="minorHAnsi"/>
          <w:i w:val="0"/>
          <w:color w:val="auto"/>
        </w:rPr>
        <w:t>four</w:t>
      </w:r>
      <w:r w:rsidRPr="001F5812">
        <w:rPr>
          <w:rFonts w:asciiTheme="minorHAnsi" w:hAnsiTheme="minorHAnsi" w:cstheme="minorHAnsi"/>
          <w:i w:val="0"/>
          <w:color w:val="auto"/>
        </w:rPr>
        <w:t xml:space="preserve"> years or when the individual's needs change significantly;</w:t>
      </w:r>
      <w:r w:rsidRPr="001F5812">
        <w:rPr>
          <w:rFonts w:asciiTheme="minorHAnsi" w:hAnsiTheme="minorHAnsi" w:cstheme="minorHAnsi"/>
          <w:i w:val="0"/>
          <w:color w:val="auto"/>
          <w:szCs w:val="24"/>
        </w:rPr>
        <w:t xml:space="preserve"> and </w:t>
      </w:r>
    </w:p>
    <w:p w14:paraId="101CC697" w14:textId="0BE6B2E7" w:rsidR="00D47C9E" w:rsidRPr="001F5812" w:rsidRDefault="00D47C9E" w:rsidP="00B56862">
      <w:pPr>
        <w:pStyle w:val="ListParagraph"/>
        <w:numPr>
          <w:ilvl w:val="0"/>
          <w:numId w:val="11"/>
        </w:numPr>
        <w:spacing w:line="240" w:lineRule="auto"/>
        <w:rPr>
          <w:rFonts w:asciiTheme="minorHAnsi" w:hAnsiTheme="minorHAnsi" w:cstheme="minorHAnsi"/>
          <w:i w:val="0"/>
          <w:color w:val="auto"/>
          <w:szCs w:val="24"/>
        </w:rPr>
      </w:pPr>
      <w:r w:rsidRPr="001F5812">
        <w:rPr>
          <w:rFonts w:asciiTheme="minorHAnsi" w:hAnsiTheme="minorHAnsi" w:cstheme="minorHAnsi"/>
          <w:i w:val="0"/>
          <w:color w:val="auto"/>
          <w:szCs w:val="24"/>
        </w:rPr>
        <w:t>Allow employment service organizations to be providers of</w:t>
      </w:r>
      <w:r w:rsidRPr="001F5812">
        <w:t xml:space="preserve"> </w:t>
      </w:r>
      <w:r w:rsidRPr="001F5812">
        <w:rPr>
          <w:rFonts w:asciiTheme="minorHAnsi" w:hAnsiTheme="minorHAnsi" w:cstheme="minorHAnsi"/>
          <w:i w:val="0"/>
          <w:color w:val="auto"/>
        </w:rPr>
        <w:t xml:space="preserve">Peer Mentor Supports and Employment and Community Transportation services </w:t>
      </w:r>
    </w:p>
    <w:p w14:paraId="42812EC2" w14:textId="77777777" w:rsidR="00256485" w:rsidRPr="001F5812" w:rsidRDefault="00B73D8E" w:rsidP="00B56862">
      <w:pPr>
        <w:spacing w:line="240" w:lineRule="auto"/>
        <w:rPr>
          <w:rFonts w:asciiTheme="minorHAnsi" w:hAnsiTheme="minorHAnsi" w:cstheme="minorHAnsi"/>
          <w:i w:val="0"/>
          <w:color w:val="auto"/>
          <w:szCs w:val="24"/>
        </w:rPr>
        <w:sectPr w:rsidR="00256485" w:rsidRPr="001F5812" w:rsidSect="00256485">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pPr>
      <w:r w:rsidRPr="001F5812">
        <w:rPr>
          <w:rFonts w:asciiTheme="minorHAnsi" w:hAnsiTheme="minorHAnsi" w:cstheme="minorHAnsi"/>
          <w:i w:val="0"/>
          <w:color w:val="auto"/>
          <w:szCs w:val="24"/>
        </w:rPr>
        <w:t>The Board offers the following concerns and recommendations to improve the</w:t>
      </w:r>
      <w:r w:rsidR="00B64296" w:rsidRPr="001F5812">
        <w:rPr>
          <w:rFonts w:asciiTheme="minorHAnsi" w:hAnsiTheme="minorHAnsi" w:cstheme="minorHAnsi"/>
          <w:i w:val="0"/>
          <w:color w:val="auto"/>
          <w:szCs w:val="24"/>
        </w:rPr>
        <w:t xml:space="preserve"> renewal application for the CL waiver</w:t>
      </w:r>
      <w:r w:rsidR="0054444A" w:rsidRPr="001F5812">
        <w:rPr>
          <w:rFonts w:asciiTheme="minorHAnsi" w:hAnsiTheme="minorHAnsi" w:cstheme="minorHAnsi"/>
          <w:i w:val="0"/>
          <w:color w:val="auto"/>
          <w:szCs w:val="24"/>
        </w:rPr>
        <w:t>, organized by application section</w:t>
      </w:r>
      <w:r w:rsidRPr="001F5812">
        <w:rPr>
          <w:rFonts w:asciiTheme="minorHAnsi" w:hAnsiTheme="minorHAnsi" w:cstheme="minorHAnsi"/>
          <w:i w:val="0"/>
          <w:color w:val="auto"/>
          <w:szCs w:val="24"/>
        </w:rPr>
        <w:t>:</w:t>
      </w:r>
    </w:p>
    <w:p w14:paraId="2B757C2D" w14:textId="4B30AA91" w:rsidR="00B73D8E" w:rsidRPr="001F5812" w:rsidRDefault="00B73D8E" w:rsidP="000B0FA4">
      <w:pPr>
        <w:spacing w:line="240" w:lineRule="auto"/>
        <w:outlineLvl w:val="1"/>
        <w:rPr>
          <w:rFonts w:asciiTheme="minorHAnsi" w:hAnsiTheme="minorHAnsi" w:cstheme="minorHAnsi"/>
          <w:b/>
          <w:i w:val="0"/>
          <w:color w:val="auto"/>
          <w:szCs w:val="24"/>
          <w:u w:val="single"/>
        </w:rPr>
      </w:pPr>
      <w:r w:rsidRPr="001F5812">
        <w:rPr>
          <w:rFonts w:asciiTheme="minorHAnsi" w:hAnsiTheme="minorHAnsi" w:cstheme="minorHAnsi"/>
          <w:b/>
          <w:i w:val="0"/>
          <w:color w:val="auto"/>
          <w:szCs w:val="24"/>
          <w:u w:val="single"/>
        </w:rPr>
        <w:lastRenderedPageBreak/>
        <w:t>Brief Waiver Description</w:t>
      </w:r>
    </w:p>
    <w:p w14:paraId="384AA598" w14:textId="42E85D33" w:rsidR="00B73D8E" w:rsidRPr="001F5812" w:rsidRDefault="00B73D8E" w:rsidP="00B56862">
      <w:pPr>
        <w:pStyle w:val="ListParagraph"/>
        <w:numPr>
          <w:ilvl w:val="0"/>
          <w:numId w:val="28"/>
        </w:numPr>
        <w:spacing w:line="240" w:lineRule="auto"/>
        <w:rPr>
          <w:rFonts w:asciiTheme="minorHAnsi" w:hAnsiTheme="minorHAnsi" w:cstheme="minorHAnsi"/>
          <w:i w:val="0"/>
          <w:color w:val="auto"/>
          <w:szCs w:val="24"/>
        </w:rPr>
      </w:pPr>
      <w:r w:rsidRPr="001F5812">
        <w:rPr>
          <w:rFonts w:asciiTheme="minorHAnsi" w:hAnsiTheme="minorHAnsi" w:cstheme="minorHAnsi"/>
          <w:b/>
          <w:i w:val="0"/>
          <w:color w:val="auto"/>
          <w:szCs w:val="24"/>
        </w:rPr>
        <w:t>The statement of goals and objectives should be revised to better reflect the purposes of wavier redesign</w:t>
      </w:r>
      <w:r w:rsidR="00FE253A" w:rsidRPr="001F5812">
        <w:rPr>
          <w:rFonts w:asciiTheme="minorHAnsi" w:hAnsiTheme="minorHAnsi" w:cstheme="minorHAnsi"/>
          <w:b/>
          <w:i w:val="0"/>
          <w:color w:val="auto"/>
          <w:szCs w:val="24"/>
        </w:rPr>
        <w:t>.</w:t>
      </w:r>
    </w:p>
    <w:p w14:paraId="655EEFEB" w14:textId="325D6307" w:rsidR="00B73D8E" w:rsidRPr="001F5812" w:rsidRDefault="00FE253A" w:rsidP="00B56862">
      <w:pPr>
        <w:spacing w:line="240" w:lineRule="auto"/>
        <w:ind w:left="360"/>
        <w:rPr>
          <w:rFonts w:asciiTheme="minorHAnsi" w:hAnsiTheme="minorHAnsi" w:cstheme="minorHAnsi"/>
          <w:i w:val="0"/>
          <w:color w:val="auto"/>
          <w:szCs w:val="24"/>
        </w:rPr>
      </w:pPr>
      <w:r w:rsidRPr="001F5812">
        <w:rPr>
          <w:rFonts w:asciiTheme="minorHAnsi" w:hAnsiTheme="minorHAnsi" w:cstheme="minorHAnsi"/>
          <w:i w:val="0"/>
          <w:color w:val="auto"/>
          <w:szCs w:val="24"/>
        </w:rPr>
        <w:t>As it did in February 2016, t</w:t>
      </w:r>
      <w:r w:rsidR="00B73D8E" w:rsidRPr="001F5812">
        <w:rPr>
          <w:rFonts w:asciiTheme="minorHAnsi" w:hAnsiTheme="minorHAnsi" w:cstheme="minorHAnsi"/>
          <w:i w:val="0"/>
          <w:color w:val="auto"/>
          <w:szCs w:val="24"/>
        </w:rPr>
        <w:t xml:space="preserve">he Board recommends improving the statement of goals and objectives contained in the waiver </w:t>
      </w:r>
      <w:r w:rsidRPr="001F5812">
        <w:rPr>
          <w:rFonts w:asciiTheme="minorHAnsi" w:hAnsiTheme="minorHAnsi" w:cstheme="minorHAnsi"/>
          <w:i w:val="0"/>
          <w:color w:val="auto"/>
          <w:szCs w:val="24"/>
        </w:rPr>
        <w:t xml:space="preserve">renewal </w:t>
      </w:r>
      <w:r w:rsidR="00B73D8E" w:rsidRPr="001F5812">
        <w:rPr>
          <w:rFonts w:asciiTheme="minorHAnsi" w:hAnsiTheme="minorHAnsi" w:cstheme="minorHAnsi"/>
          <w:i w:val="0"/>
          <w:color w:val="auto"/>
          <w:szCs w:val="24"/>
        </w:rPr>
        <w:t>application. The stated goals and</w:t>
      </w:r>
      <w:r w:rsidRPr="001F5812">
        <w:rPr>
          <w:rFonts w:asciiTheme="minorHAnsi" w:hAnsiTheme="minorHAnsi" w:cstheme="minorHAnsi"/>
          <w:i w:val="0"/>
          <w:color w:val="auto"/>
          <w:szCs w:val="24"/>
        </w:rPr>
        <w:t xml:space="preserve"> objectives of the waiver</w:t>
      </w:r>
      <w:r w:rsidR="00B73D8E" w:rsidRPr="001F5812">
        <w:rPr>
          <w:rFonts w:asciiTheme="minorHAnsi" w:hAnsiTheme="minorHAnsi" w:cstheme="minorHAnsi"/>
          <w:i w:val="0"/>
          <w:color w:val="auto"/>
          <w:szCs w:val="24"/>
        </w:rPr>
        <w:t xml:space="preserve"> set the tone for what follows, and should provide the benchmarks against which to compare the remainder of the application. They should also be informed by the paradigm shift that prompted and underlies the redesign of Virginia’s waivers for people with developmental disabilities. As written, the goals and objectives do not provide sufficient insight into the purposes of waiver redesign. </w:t>
      </w:r>
    </w:p>
    <w:p w14:paraId="2129CDF5" w14:textId="14D7CBA5" w:rsidR="00B73D8E" w:rsidRPr="001F5812" w:rsidRDefault="00B73D8E" w:rsidP="00B56862">
      <w:pPr>
        <w:spacing w:line="240" w:lineRule="auto"/>
        <w:ind w:left="360"/>
        <w:rPr>
          <w:rFonts w:asciiTheme="minorHAnsi" w:hAnsiTheme="minorHAnsi" w:cstheme="minorHAnsi"/>
          <w:i w:val="0"/>
          <w:color w:val="auto"/>
          <w:szCs w:val="24"/>
        </w:rPr>
      </w:pPr>
      <w:r w:rsidRPr="001F5812">
        <w:rPr>
          <w:rFonts w:asciiTheme="minorHAnsi" w:hAnsiTheme="minorHAnsi" w:cstheme="minorHAnsi"/>
          <w:i w:val="0"/>
          <w:color w:val="auto"/>
          <w:szCs w:val="24"/>
        </w:rPr>
        <w:t xml:space="preserve">The Board recommends </w:t>
      </w:r>
      <w:r w:rsidR="00FE253A" w:rsidRPr="001F5812">
        <w:rPr>
          <w:rFonts w:asciiTheme="minorHAnsi" w:hAnsiTheme="minorHAnsi" w:cstheme="minorHAnsi"/>
          <w:i w:val="0"/>
          <w:color w:val="auto"/>
          <w:szCs w:val="24"/>
        </w:rPr>
        <w:t>that the goal and objectives of the Communi</w:t>
      </w:r>
      <w:r w:rsidR="006D2A35" w:rsidRPr="001F5812">
        <w:rPr>
          <w:rFonts w:asciiTheme="minorHAnsi" w:hAnsiTheme="minorHAnsi" w:cstheme="minorHAnsi"/>
          <w:i w:val="0"/>
          <w:color w:val="auto"/>
          <w:szCs w:val="24"/>
        </w:rPr>
        <w:t xml:space="preserve">ty Living Waiver be stated as: </w:t>
      </w:r>
      <w:r w:rsidR="00FE253A" w:rsidRPr="001F5812">
        <w:rPr>
          <w:rFonts w:asciiTheme="minorHAnsi" w:hAnsiTheme="minorHAnsi" w:cstheme="minorHAnsi"/>
          <w:i w:val="0"/>
          <w:color w:val="auto"/>
          <w:szCs w:val="24"/>
        </w:rPr>
        <w:t>to</w:t>
      </w:r>
      <w:r w:rsidRPr="001F5812">
        <w:rPr>
          <w:rFonts w:asciiTheme="minorHAnsi" w:hAnsiTheme="minorHAnsi" w:cstheme="minorHAnsi"/>
          <w:i w:val="0"/>
          <w:color w:val="auto"/>
          <w:szCs w:val="24"/>
        </w:rPr>
        <w:t xml:space="preserve"> provide a comprehensive system of services and supports that empowers individuals with developmental disabilities to live healthy, productive, independent lives in the most integrated setting appropriate to their needs and desires. The objectives should be focused on achieving this goal and should include:</w:t>
      </w:r>
    </w:p>
    <w:p w14:paraId="2ED68ADE" w14:textId="77777777" w:rsidR="00B73D8E" w:rsidRPr="001F5812" w:rsidRDefault="00B73D8E" w:rsidP="00B56862">
      <w:pPr>
        <w:pStyle w:val="ListParagraph"/>
        <w:numPr>
          <w:ilvl w:val="0"/>
          <w:numId w:val="10"/>
        </w:numPr>
        <w:spacing w:after="0" w:line="240" w:lineRule="auto"/>
        <w:ind w:left="1440"/>
        <w:rPr>
          <w:rFonts w:asciiTheme="minorHAnsi" w:hAnsiTheme="minorHAnsi" w:cstheme="minorHAnsi"/>
          <w:i w:val="0"/>
          <w:color w:val="auto"/>
          <w:szCs w:val="24"/>
        </w:rPr>
      </w:pPr>
      <w:r w:rsidRPr="001F5812">
        <w:rPr>
          <w:rFonts w:asciiTheme="minorHAnsi" w:hAnsiTheme="minorHAnsi" w:cstheme="minorHAnsi"/>
          <w:i w:val="0"/>
          <w:color w:val="auto"/>
          <w:szCs w:val="24"/>
        </w:rPr>
        <w:t>Provide a comprehensive array of services and supports to individuals with developmental disabilities that enable them to live independent lives in their communities of choice.</w:t>
      </w:r>
    </w:p>
    <w:p w14:paraId="779A41D5" w14:textId="77777777" w:rsidR="00B73D8E" w:rsidRPr="001F5812" w:rsidRDefault="00B73D8E" w:rsidP="00B56862">
      <w:pPr>
        <w:pStyle w:val="ListParagraph"/>
        <w:numPr>
          <w:ilvl w:val="0"/>
          <w:numId w:val="10"/>
        </w:numPr>
        <w:spacing w:after="0" w:line="240" w:lineRule="auto"/>
        <w:ind w:left="1440"/>
        <w:rPr>
          <w:rFonts w:asciiTheme="minorHAnsi" w:hAnsiTheme="minorHAnsi" w:cstheme="minorHAnsi"/>
          <w:i w:val="0"/>
          <w:color w:val="auto"/>
          <w:szCs w:val="24"/>
        </w:rPr>
      </w:pPr>
      <w:r w:rsidRPr="001F5812">
        <w:rPr>
          <w:rFonts w:asciiTheme="minorHAnsi" w:hAnsiTheme="minorHAnsi" w:cstheme="minorHAnsi"/>
          <w:i w:val="0"/>
          <w:color w:val="auto"/>
          <w:szCs w:val="24"/>
        </w:rPr>
        <w:t>Provide the supports and services necessary to strengthen families and enhance natural supports.</w:t>
      </w:r>
    </w:p>
    <w:p w14:paraId="73DC8AC0" w14:textId="35AC2D8B" w:rsidR="00B73D8E" w:rsidRPr="001F5812" w:rsidRDefault="00B73D8E" w:rsidP="00B56862">
      <w:pPr>
        <w:pStyle w:val="ListParagraph"/>
        <w:numPr>
          <w:ilvl w:val="0"/>
          <w:numId w:val="10"/>
        </w:numPr>
        <w:spacing w:after="0" w:line="240" w:lineRule="auto"/>
        <w:ind w:left="1440"/>
        <w:rPr>
          <w:rFonts w:asciiTheme="minorHAnsi" w:hAnsiTheme="minorHAnsi" w:cstheme="minorHAnsi"/>
          <w:i w:val="0"/>
          <w:color w:val="auto"/>
          <w:szCs w:val="24"/>
        </w:rPr>
      </w:pPr>
      <w:r w:rsidRPr="001F5812">
        <w:rPr>
          <w:rFonts w:asciiTheme="minorHAnsi" w:hAnsiTheme="minorHAnsi" w:cstheme="minorHAnsi"/>
          <w:i w:val="0"/>
          <w:color w:val="auto"/>
          <w:szCs w:val="24"/>
        </w:rPr>
        <w:t>Provide maximum opportunities for individuals with developmental disabilities to exercise independence, choice</w:t>
      </w:r>
      <w:r w:rsidR="006D2A35" w:rsidRPr="001F5812">
        <w:rPr>
          <w:rFonts w:asciiTheme="minorHAnsi" w:hAnsiTheme="minorHAnsi" w:cstheme="minorHAnsi"/>
          <w:i w:val="0"/>
          <w:color w:val="auto"/>
          <w:szCs w:val="24"/>
        </w:rPr>
        <w:t>,</w:t>
      </w:r>
      <w:r w:rsidRPr="001F5812">
        <w:rPr>
          <w:rFonts w:asciiTheme="minorHAnsi" w:hAnsiTheme="minorHAnsi" w:cstheme="minorHAnsi"/>
          <w:i w:val="0"/>
          <w:color w:val="auto"/>
          <w:szCs w:val="24"/>
        </w:rPr>
        <w:t xml:space="preserve"> and control over their own lives and their own services and supports.</w:t>
      </w:r>
    </w:p>
    <w:p w14:paraId="6EC3EA0C" w14:textId="77777777" w:rsidR="00B73D8E" w:rsidRPr="001F5812" w:rsidRDefault="00B73D8E" w:rsidP="00B56862">
      <w:pPr>
        <w:pStyle w:val="ListParagraph"/>
        <w:numPr>
          <w:ilvl w:val="0"/>
          <w:numId w:val="10"/>
        </w:numPr>
        <w:spacing w:after="0" w:line="240" w:lineRule="auto"/>
        <w:ind w:left="1440"/>
        <w:rPr>
          <w:rFonts w:asciiTheme="minorHAnsi" w:hAnsiTheme="minorHAnsi" w:cstheme="minorHAnsi"/>
          <w:i w:val="0"/>
          <w:color w:val="auto"/>
          <w:szCs w:val="24"/>
        </w:rPr>
      </w:pPr>
      <w:r w:rsidRPr="001F5812">
        <w:rPr>
          <w:rFonts w:asciiTheme="minorHAnsi" w:hAnsiTheme="minorHAnsi" w:cstheme="minorHAnsi"/>
          <w:i w:val="0"/>
          <w:color w:val="auto"/>
          <w:szCs w:val="24"/>
        </w:rPr>
        <w:t>Increase access to waiver services for individuals and families to ensure that individuals with developmental disabilities can remain in the most integrated setting appropriate to their needs and desires.</w:t>
      </w:r>
    </w:p>
    <w:p w14:paraId="1524E016" w14:textId="66103D96" w:rsidR="00C85A32" w:rsidRPr="001F5812" w:rsidRDefault="006D2A35" w:rsidP="00B56862">
      <w:pPr>
        <w:pStyle w:val="ListParagraph"/>
        <w:numPr>
          <w:ilvl w:val="0"/>
          <w:numId w:val="10"/>
        </w:numPr>
        <w:spacing w:after="240" w:line="240" w:lineRule="auto"/>
        <w:ind w:left="1440"/>
        <w:rPr>
          <w:rFonts w:asciiTheme="minorHAnsi" w:hAnsiTheme="minorHAnsi" w:cstheme="minorHAnsi"/>
          <w:i w:val="0"/>
          <w:color w:val="auto"/>
          <w:szCs w:val="24"/>
          <w:u w:val="single"/>
        </w:rPr>
      </w:pPr>
      <w:r w:rsidRPr="001F5812">
        <w:rPr>
          <w:rFonts w:asciiTheme="minorHAnsi" w:hAnsiTheme="minorHAnsi" w:cstheme="minorHAnsi"/>
          <w:i w:val="0"/>
          <w:color w:val="auto"/>
          <w:szCs w:val="24"/>
        </w:rPr>
        <w:t>Develop a robust quality a</w:t>
      </w:r>
      <w:r w:rsidR="00B73D8E" w:rsidRPr="001F5812">
        <w:rPr>
          <w:rFonts w:asciiTheme="minorHAnsi" w:hAnsiTheme="minorHAnsi" w:cstheme="minorHAnsi"/>
          <w:i w:val="0"/>
          <w:color w:val="auto"/>
          <w:szCs w:val="24"/>
        </w:rPr>
        <w:t>ssurance system that ensures Medicaid</w:t>
      </w:r>
      <w:r w:rsidR="000046EE" w:rsidRPr="001F5812">
        <w:rPr>
          <w:rFonts w:asciiTheme="minorHAnsi" w:hAnsiTheme="minorHAnsi" w:cstheme="minorHAnsi"/>
          <w:i w:val="0"/>
          <w:color w:val="auto"/>
          <w:szCs w:val="24"/>
        </w:rPr>
        <w:t>-</w:t>
      </w:r>
      <w:r w:rsidR="00B73D8E" w:rsidRPr="001F5812">
        <w:rPr>
          <w:rFonts w:asciiTheme="minorHAnsi" w:hAnsiTheme="minorHAnsi" w:cstheme="minorHAnsi"/>
          <w:i w:val="0"/>
          <w:color w:val="auto"/>
          <w:szCs w:val="24"/>
        </w:rPr>
        <w:t>funded services and supports are person-centered, high quality, and cost-effective.</w:t>
      </w:r>
    </w:p>
    <w:p w14:paraId="578690BA" w14:textId="5F423FF1" w:rsidR="008C0326" w:rsidRPr="001F5812" w:rsidRDefault="008C0326" w:rsidP="000B0FA4">
      <w:pPr>
        <w:spacing w:after="240" w:line="240" w:lineRule="auto"/>
        <w:outlineLvl w:val="1"/>
        <w:rPr>
          <w:rFonts w:asciiTheme="minorHAnsi" w:hAnsiTheme="minorHAnsi" w:cstheme="minorHAnsi"/>
          <w:b/>
          <w:i w:val="0"/>
          <w:color w:val="auto"/>
          <w:szCs w:val="24"/>
          <w:u w:val="single"/>
        </w:rPr>
      </w:pPr>
      <w:r w:rsidRPr="001F5812">
        <w:rPr>
          <w:rFonts w:asciiTheme="minorHAnsi" w:hAnsiTheme="minorHAnsi" w:cstheme="minorHAnsi"/>
          <w:b/>
          <w:i w:val="0"/>
          <w:color w:val="auto"/>
          <w:szCs w:val="24"/>
          <w:u w:val="single"/>
        </w:rPr>
        <w:t>Appendix A: Waiver Administration and Operation</w:t>
      </w:r>
    </w:p>
    <w:p w14:paraId="3430A391" w14:textId="32282C20" w:rsidR="001C472E" w:rsidRPr="001F5812" w:rsidRDefault="000A1568" w:rsidP="00B56862">
      <w:pPr>
        <w:pStyle w:val="ListParagraph"/>
        <w:numPr>
          <w:ilvl w:val="0"/>
          <w:numId w:val="28"/>
        </w:numPr>
        <w:spacing w:after="240" w:line="240" w:lineRule="auto"/>
        <w:rPr>
          <w:rFonts w:asciiTheme="minorHAnsi" w:hAnsiTheme="minorHAnsi" w:cstheme="minorHAnsi"/>
          <w:b/>
          <w:i w:val="0"/>
          <w:color w:val="auto"/>
          <w:szCs w:val="24"/>
        </w:rPr>
      </w:pPr>
      <w:r w:rsidRPr="001F5812">
        <w:rPr>
          <w:rFonts w:asciiTheme="minorHAnsi" w:hAnsiTheme="minorHAnsi" w:cstheme="minorHAnsi"/>
          <w:b/>
          <w:i w:val="0"/>
          <w:color w:val="auto"/>
          <w:szCs w:val="24"/>
        </w:rPr>
        <w:t>“Use of Contracted Entities</w:t>
      </w:r>
      <w:r w:rsidR="00571784" w:rsidRPr="001F5812">
        <w:rPr>
          <w:rFonts w:asciiTheme="minorHAnsi" w:hAnsiTheme="minorHAnsi" w:cstheme="minorHAnsi"/>
          <w:b/>
          <w:i w:val="0"/>
          <w:color w:val="auto"/>
          <w:szCs w:val="24"/>
        </w:rPr>
        <w:t>,</w:t>
      </w:r>
      <w:r w:rsidRPr="001F5812">
        <w:rPr>
          <w:rFonts w:asciiTheme="minorHAnsi" w:hAnsiTheme="minorHAnsi" w:cstheme="minorHAnsi"/>
          <w:b/>
          <w:i w:val="0"/>
          <w:color w:val="auto"/>
          <w:szCs w:val="24"/>
        </w:rPr>
        <w:t xml:space="preserve">” </w:t>
      </w:r>
      <w:r w:rsidR="008C0326" w:rsidRPr="001F5812">
        <w:rPr>
          <w:rFonts w:asciiTheme="minorHAnsi" w:hAnsiTheme="minorHAnsi" w:cstheme="minorHAnsi"/>
          <w:b/>
          <w:i w:val="0"/>
          <w:color w:val="auto"/>
          <w:szCs w:val="24"/>
        </w:rPr>
        <w:t>“Responsibility for Assessment of Performance of Contracted and/or Local/Regional Non-State Entities</w:t>
      </w:r>
      <w:r w:rsidR="00571784" w:rsidRPr="001F5812">
        <w:rPr>
          <w:rFonts w:asciiTheme="minorHAnsi" w:hAnsiTheme="minorHAnsi" w:cstheme="minorHAnsi"/>
          <w:b/>
          <w:i w:val="0"/>
          <w:color w:val="auto"/>
          <w:szCs w:val="24"/>
        </w:rPr>
        <w:t>,</w:t>
      </w:r>
      <w:r w:rsidR="008C0326" w:rsidRPr="001F5812">
        <w:rPr>
          <w:rFonts w:asciiTheme="minorHAnsi" w:hAnsiTheme="minorHAnsi" w:cstheme="minorHAnsi"/>
          <w:b/>
          <w:i w:val="0"/>
          <w:color w:val="auto"/>
          <w:szCs w:val="24"/>
        </w:rPr>
        <w:t>”</w:t>
      </w:r>
      <w:r w:rsidR="00571784" w:rsidRPr="001F5812">
        <w:rPr>
          <w:rFonts w:asciiTheme="minorHAnsi" w:hAnsiTheme="minorHAnsi" w:cstheme="minorHAnsi"/>
          <w:b/>
          <w:i w:val="0"/>
          <w:color w:val="auto"/>
          <w:szCs w:val="24"/>
        </w:rPr>
        <w:t xml:space="preserve"> and “Assessment Methods and Frequency”</w:t>
      </w:r>
      <w:r w:rsidR="008C0326" w:rsidRPr="001F5812">
        <w:rPr>
          <w:rFonts w:asciiTheme="minorHAnsi" w:hAnsiTheme="minorHAnsi" w:cstheme="minorHAnsi"/>
          <w:b/>
          <w:i w:val="0"/>
          <w:color w:val="auto"/>
          <w:szCs w:val="24"/>
        </w:rPr>
        <w:t xml:space="preserve"> Section</w:t>
      </w:r>
      <w:r w:rsidRPr="001F5812">
        <w:rPr>
          <w:rFonts w:asciiTheme="minorHAnsi" w:hAnsiTheme="minorHAnsi" w:cstheme="minorHAnsi"/>
          <w:b/>
          <w:i w:val="0"/>
          <w:color w:val="auto"/>
          <w:szCs w:val="24"/>
        </w:rPr>
        <w:t>s</w:t>
      </w:r>
      <w:r w:rsidR="008C0326" w:rsidRPr="001F5812">
        <w:rPr>
          <w:rFonts w:asciiTheme="minorHAnsi" w:hAnsiTheme="minorHAnsi" w:cstheme="minorHAnsi"/>
          <w:b/>
          <w:i w:val="0"/>
          <w:color w:val="auto"/>
          <w:szCs w:val="24"/>
        </w:rPr>
        <w:t>: References to Public Partnerships, LLC</w:t>
      </w:r>
      <w:r w:rsidR="00571784" w:rsidRPr="001F5812">
        <w:rPr>
          <w:rFonts w:asciiTheme="minorHAnsi" w:hAnsiTheme="minorHAnsi" w:cstheme="minorHAnsi"/>
          <w:b/>
          <w:i w:val="0"/>
          <w:color w:val="auto"/>
          <w:szCs w:val="24"/>
        </w:rPr>
        <w:t xml:space="preserve"> or PPL</w:t>
      </w:r>
      <w:r w:rsidR="008C0326" w:rsidRPr="001F5812">
        <w:rPr>
          <w:rFonts w:asciiTheme="minorHAnsi" w:hAnsiTheme="minorHAnsi" w:cstheme="minorHAnsi"/>
          <w:b/>
          <w:i w:val="0"/>
          <w:color w:val="auto"/>
          <w:szCs w:val="24"/>
        </w:rPr>
        <w:t xml:space="preserve"> should be changed to Consumer Direct Care Network, the new fiscal broker.</w:t>
      </w:r>
    </w:p>
    <w:p w14:paraId="675EA2F3" w14:textId="5D170F9F" w:rsidR="00B73D8E" w:rsidRPr="001F5812" w:rsidRDefault="002D6550" w:rsidP="000B0FA4">
      <w:pPr>
        <w:spacing w:after="240" w:line="240" w:lineRule="auto"/>
        <w:outlineLvl w:val="1"/>
        <w:rPr>
          <w:rFonts w:asciiTheme="minorHAnsi" w:hAnsiTheme="minorHAnsi" w:cstheme="minorHAnsi"/>
          <w:b/>
          <w:i w:val="0"/>
          <w:color w:val="auto"/>
          <w:szCs w:val="24"/>
          <w:u w:val="single"/>
        </w:rPr>
      </w:pPr>
      <w:r w:rsidRPr="001F5812">
        <w:rPr>
          <w:rFonts w:asciiTheme="minorHAnsi" w:hAnsiTheme="minorHAnsi" w:cstheme="minorHAnsi"/>
          <w:b/>
          <w:i w:val="0"/>
          <w:color w:val="auto"/>
          <w:szCs w:val="24"/>
          <w:u w:val="single"/>
        </w:rPr>
        <w:br w:type="column"/>
      </w:r>
      <w:r w:rsidR="00B73D8E" w:rsidRPr="001F5812">
        <w:rPr>
          <w:rFonts w:asciiTheme="minorHAnsi" w:hAnsiTheme="minorHAnsi" w:cstheme="minorHAnsi"/>
          <w:b/>
          <w:i w:val="0"/>
          <w:color w:val="auto"/>
          <w:szCs w:val="24"/>
          <w:u w:val="single"/>
        </w:rPr>
        <w:lastRenderedPageBreak/>
        <w:t>Appendix B</w:t>
      </w:r>
      <w:r w:rsidR="00BF070C" w:rsidRPr="001F5812">
        <w:rPr>
          <w:rFonts w:asciiTheme="minorHAnsi" w:hAnsiTheme="minorHAnsi" w:cstheme="minorHAnsi"/>
          <w:b/>
          <w:i w:val="0"/>
          <w:color w:val="auto"/>
          <w:szCs w:val="24"/>
          <w:u w:val="single"/>
        </w:rPr>
        <w:t>-3:</w:t>
      </w:r>
      <w:r w:rsidR="00B73D8E" w:rsidRPr="001F5812">
        <w:rPr>
          <w:rFonts w:asciiTheme="minorHAnsi" w:hAnsiTheme="minorHAnsi" w:cstheme="minorHAnsi"/>
          <w:b/>
          <w:i w:val="0"/>
          <w:color w:val="auto"/>
          <w:szCs w:val="24"/>
          <w:u w:val="single"/>
        </w:rPr>
        <w:t xml:space="preserve"> Participant Access and Eligibility</w:t>
      </w:r>
      <w:r w:rsidR="00BF070C" w:rsidRPr="001F5812">
        <w:rPr>
          <w:rFonts w:asciiTheme="minorHAnsi" w:hAnsiTheme="minorHAnsi" w:cstheme="minorHAnsi"/>
          <w:b/>
          <w:i w:val="0"/>
          <w:color w:val="auto"/>
          <w:szCs w:val="24"/>
          <w:u w:val="single"/>
        </w:rPr>
        <w:t>- Number of Individuals Served</w:t>
      </w:r>
    </w:p>
    <w:p w14:paraId="7295F8D7" w14:textId="217B7EF7" w:rsidR="004801FF" w:rsidRPr="001F5812" w:rsidRDefault="004801FF" w:rsidP="004801FF">
      <w:pPr>
        <w:pStyle w:val="ListParagraph"/>
        <w:numPr>
          <w:ilvl w:val="0"/>
          <w:numId w:val="28"/>
        </w:numPr>
        <w:spacing w:line="240" w:lineRule="auto"/>
        <w:rPr>
          <w:rFonts w:asciiTheme="minorHAnsi" w:hAnsiTheme="minorHAnsi" w:cstheme="minorHAnsi"/>
          <w:b/>
          <w:i w:val="0"/>
          <w:color w:val="auto"/>
          <w:szCs w:val="24"/>
        </w:rPr>
      </w:pPr>
      <w:r w:rsidRPr="001F5812">
        <w:rPr>
          <w:rFonts w:asciiTheme="minorHAnsi" w:hAnsiTheme="minorHAnsi" w:cstheme="minorHAnsi"/>
          <w:b/>
          <w:i w:val="0"/>
          <w:color w:val="auto"/>
          <w:szCs w:val="24"/>
        </w:rPr>
        <w:t>“Waiver Mo</w:t>
      </w:r>
      <w:r w:rsidR="000B0FA4" w:rsidRPr="001F5812">
        <w:rPr>
          <w:rFonts w:asciiTheme="minorHAnsi" w:hAnsiTheme="minorHAnsi" w:cstheme="minorHAnsi"/>
          <w:b/>
          <w:i w:val="0"/>
          <w:color w:val="auto"/>
          <w:szCs w:val="24"/>
        </w:rPr>
        <w:t>vement and Emergencies” Section:</w:t>
      </w:r>
      <w:r w:rsidRPr="001F5812">
        <w:rPr>
          <w:rFonts w:asciiTheme="minorHAnsi" w:hAnsiTheme="minorHAnsi" w:cstheme="minorHAnsi"/>
          <w:b/>
          <w:i w:val="0"/>
          <w:color w:val="auto"/>
          <w:szCs w:val="24"/>
        </w:rPr>
        <w:t xml:space="preserve"> The Board recommends that data related to past use of reserve slots </w:t>
      </w:r>
      <w:r w:rsidR="008654E9" w:rsidRPr="001F5812">
        <w:rPr>
          <w:rFonts w:asciiTheme="minorHAnsi" w:hAnsiTheme="minorHAnsi" w:cstheme="minorHAnsi"/>
          <w:b/>
          <w:i w:val="0"/>
          <w:color w:val="auto"/>
          <w:szCs w:val="24"/>
        </w:rPr>
        <w:t xml:space="preserve">be included in the application </w:t>
      </w:r>
      <w:r w:rsidRPr="001F5812">
        <w:rPr>
          <w:rFonts w:asciiTheme="minorHAnsi" w:hAnsiTheme="minorHAnsi" w:cstheme="minorHAnsi"/>
          <w:b/>
          <w:i w:val="0"/>
          <w:color w:val="auto"/>
          <w:szCs w:val="24"/>
        </w:rPr>
        <w:t xml:space="preserve">and how this past use relates to the number of reserve slots contained in the application. </w:t>
      </w:r>
    </w:p>
    <w:p w14:paraId="77834712" w14:textId="656F6F0E" w:rsidR="004801FF" w:rsidRPr="001F5812" w:rsidRDefault="004801FF" w:rsidP="001C472E">
      <w:pPr>
        <w:spacing w:line="240" w:lineRule="auto"/>
        <w:ind w:left="360"/>
        <w:rPr>
          <w:rFonts w:asciiTheme="minorHAnsi" w:hAnsiTheme="minorHAnsi" w:cstheme="minorHAnsi"/>
          <w:b/>
          <w:i w:val="0"/>
          <w:color w:val="auto"/>
          <w:szCs w:val="24"/>
        </w:rPr>
      </w:pPr>
      <w:r w:rsidRPr="001F5812">
        <w:rPr>
          <w:rFonts w:asciiTheme="minorHAnsi" w:hAnsiTheme="minorHAnsi" w:cstheme="minorHAnsi"/>
          <w:i w:val="0"/>
          <w:color w:val="auto"/>
          <w:szCs w:val="24"/>
        </w:rPr>
        <w:t xml:space="preserve">The application states that the “reserve capacity was determined by the amount of reserved waiver slots allocated by the Virginia General Assembly.” While the Board understands that this explanation is technical accurate, in that the General Assembly ultimately determines the number of waiver slots available for individuals in the Commonwealth, some discussion of historical rates of reserve slot usage would aid in determining whether the amount of slots dedicated for this purpose in the future is appropriate and sufficient. Without this data, the reserve capacity contained in the application lacks sufficient context for meaningful evaluation. </w:t>
      </w:r>
    </w:p>
    <w:p w14:paraId="08C9B307" w14:textId="1A34FE9A" w:rsidR="00510997" w:rsidRPr="001F5812" w:rsidRDefault="00F45179" w:rsidP="00B56862">
      <w:pPr>
        <w:pStyle w:val="ListParagraph"/>
        <w:numPr>
          <w:ilvl w:val="0"/>
          <w:numId w:val="28"/>
        </w:numPr>
        <w:spacing w:line="240" w:lineRule="auto"/>
        <w:rPr>
          <w:rFonts w:asciiTheme="minorHAnsi" w:hAnsiTheme="minorHAnsi" w:cstheme="minorHAnsi"/>
          <w:b/>
          <w:i w:val="0"/>
          <w:color w:val="auto"/>
          <w:szCs w:val="24"/>
        </w:rPr>
      </w:pPr>
      <w:r w:rsidRPr="001F5812">
        <w:rPr>
          <w:rFonts w:asciiTheme="minorHAnsi" w:hAnsiTheme="minorHAnsi" w:cstheme="minorHAnsi"/>
          <w:b/>
          <w:i w:val="0"/>
          <w:color w:val="auto"/>
          <w:szCs w:val="24"/>
        </w:rPr>
        <w:t>“</w:t>
      </w:r>
      <w:r w:rsidR="00510997" w:rsidRPr="001F5812">
        <w:rPr>
          <w:rFonts w:asciiTheme="minorHAnsi" w:hAnsiTheme="minorHAnsi" w:cstheme="minorHAnsi"/>
          <w:b/>
          <w:i w:val="0"/>
          <w:color w:val="auto"/>
          <w:szCs w:val="24"/>
        </w:rPr>
        <w:t xml:space="preserve">Allocation of Waiver </w:t>
      </w:r>
      <w:r w:rsidRPr="001F5812">
        <w:rPr>
          <w:rFonts w:asciiTheme="minorHAnsi" w:hAnsiTheme="minorHAnsi" w:cstheme="minorHAnsi"/>
          <w:b/>
          <w:i w:val="0"/>
          <w:color w:val="auto"/>
          <w:szCs w:val="24"/>
        </w:rPr>
        <w:t>C</w:t>
      </w:r>
      <w:r w:rsidR="00091135" w:rsidRPr="001F5812">
        <w:rPr>
          <w:rFonts w:asciiTheme="minorHAnsi" w:hAnsiTheme="minorHAnsi" w:cstheme="minorHAnsi"/>
          <w:b/>
          <w:i w:val="0"/>
          <w:color w:val="auto"/>
          <w:szCs w:val="24"/>
        </w:rPr>
        <w:t>apacity</w:t>
      </w:r>
      <w:r w:rsidRPr="001F5812">
        <w:rPr>
          <w:rFonts w:asciiTheme="minorHAnsi" w:hAnsiTheme="minorHAnsi" w:cstheme="minorHAnsi"/>
          <w:b/>
          <w:i w:val="0"/>
          <w:color w:val="auto"/>
          <w:szCs w:val="24"/>
        </w:rPr>
        <w:t>” Section:</w:t>
      </w:r>
      <w:r w:rsidR="00D963A5" w:rsidRPr="001F5812">
        <w:rPr>
          <w:rFonts w:asciiTheme="minorHAnsi" w:hAnsiTheme="minorHAnsi" w:cstheme="minorHAnsi"/>
          <w:b/>
          <w:i w:val="0"/>
          <w:color w:val="auto"/>
          <w:szCs w:val="24"/>
        </w:rPr>
        <w:t xml:space="preserve"> </w:t>
      </w:r>
      <w:r w:rsidR="00510997" w:rsidRPr="001F5812">
        <w:rPr>
          <w:rFonts w:asciiTheme="minorHAnsi" w:hAnsiTheme="minorHAnsi" w:cstheme="minorHAnsi"/>
          <w:b/>
          <w:i w:val="0"/>
          <w:color w:val="auto"/>
          <w:szCs w:val="24"/>
        </w:rPr>
        <w:t>The Board recommends that the specific process for determining who is most in need of a slot</w:t>
      </w:r>
      <w:r w:rsidR="00C354EF" w:rsidRPr="001F5812">
        <w:rPr>
          <w:rFonts w:asciiTheme="minorHAnsi" w:hAnsiTheme="minorHAnsi" w:cstheme="minorHAnsi"/>
          <w:b/>
          <w:i w:val="0"/>
          <w:color w:val="auto"/>
          <w:szCs w:val="24"/>
        </w:rPr>
        <w:t>,</w:t>
      </w:r>
      <w:r w:rsidR="00510997" w:rsidRPr="001F5812">
        <w:rPr>
          <w:rFonts w:asciiTheme="minorHAnsi" w:hAnsiTheme="minorHAnsi" w:cstheme="minorHAnsi"/>
          <w:b/>
          <w:i w:val="0"/>
          <w:color w:val="auto"/>
          <w:szCs w:val="24"/>
        </w:rPr>
        <w:t xml:space="preserve"> as performed by the Waiver Slot Assignment Committee, be specified in the application.</w:t>
      </w:r>
      <w:r w:rsidR="007C7817" w:rsidRPr="001F5812">
        <w:rPr>
          <w:rFonts w:asciiTheme="minorHAnsi" w:hAnsiTheme="minorHAnsi" w:cstheme="minorHAnsi"/>
          <w:b/>
          <w:i w:val="0"/>
          <w:color w:val="auto"/>
          <w:szCs w:val="24"/>
        </w:rPr>
        <w:t xml:space="preserve"> </w:t>
      </w:r>
    </w:p>
    <w:p w14:paraId="5B905555" w14:textId="003CE691" w:rsidR="00510997" w:rsidRPr="001F5812" w:rsidRDefault="00510997" w:rsidP="004801FF">
      <w:pPr>
        <w:spacing w:after="240" w:line="240" w:lineRule="auto"/>
        <w:ind w:left="360"/>
        <w:rPr>
          <w:rFonts w:asciiTheme="minorHAnsi" w:hAnsiTheme="minorHAnsi" w:cstheme="minorHAnsi"/>
          <w:i w:val="0"/>
          <w:color w:val="auto"/>
          <w:szCs w:val="24"/>
        </w:rPr>
      </w:pPr>
      <w:r w:rsidRPr="001F5812">
        <w:rPr>
          <w:rFonts w:asciiTheme="minorHAnsi" w:hAnsiTheme="minorHAnsi" w:cstheme="minorHAnsi"/>
          <w:i w:val="0"/>
          <w:color w:val="auto"/>
          <w:szCs w:val="24"/>
        </w:rPr>
        <w:t>The application states that “t</w:t>
      </w:r>
      <w:r w:rsidRPr="001F5812">
        <w:rPr>
          <w:rFonts w:asciiTheme="minorHAnsi" w:hAnsiTheme="minorHAnsi" w:cstheme="minorHAnsi"/>
          <w:i w:val="0"/>
          <w:color w:val="auto"/>
        </w:rPr>
        <w:t>hese committees, known as Waiver Slot Assignment Committees (WSACs), review the needs of the highest scoring individuals within that region/sub-region.” For transparency and to ensure that WSACs around the state are operating and making decisions in a uniform manner, the specific scoring rubric should be specified along with the procedures employed by WSAC members in determining these scores.</w:t>
      </w:r>
      <w:r w:rsidR="007C7817" w:rsidRPr="001F5812">
        <w:rPr>
          <w:rFonts w:asciiTheme="minorHAnsi" w:hAnsiTheme="minorHAnsi" w:cstheme="minorHAnsi"/>
          <w:i w:val="0"/>
          <w:color w:val="auto"/>
        </w:rPr>
        <w:t xml:space="preserve"> </w:t>
      </w:r>
    </w:p>
    <w:p w14:paraId="08B15AD7" w14:textId="258DB68B" w:rsidR="00680FBB" w:rsidRPr="001F5812" w:rsidRDefault="00680FBB" w:rsidP="000B0FA4">
      <w:pPr>
        <w:spacing w:after="240" w:line="240" w:lineRule="auto"/>
        <w:outlineLvl w:val="1"/>
        <w:rPr>
          <w:rFonts w:asciiTheme="minorHAnsi" w:hAnsiTheme="minorHAnsi" w:cstheme="minorHAnsi"/>
          <w:b/>
          <w:i w:val="0"/>
          <w:color w:val="auto"/>
          <w:szCs w:val="24"/>
          <w:u w:val="single"/>
        </w:rPr>
      </w:pPr>
      <w:r w:rsidRPr="001F5812">
        <w:rPr>
          <w:rFonts w:asciiTheme="minorHAnsi" w:hAnsiTheme="minorHAnsi" w:cstheme="minorHAnsi"/>
          <w:b/>
          <w:i w:val="0"/>
          <w:color w:val="auto"/>
          <w:szCs w:val="24"/>
          <w:u w:val="single"/>
        </w:rPr>
        <w:t>Appendix B: Evaluation/Reevaluation of Level of Care</w:t>
      </w:r>
      <w:r w:rsidR="007B7994" w:rsidRPr="001F5812">
        <w:rPr>
          <w:rFonts w:asciiTheme="minorHAnsi" w:hAnsiTheme="minorHAnsi" w:cstheme="minorHAnsi"/>
          <w:b/>
          <w:i w:val="0"/>
          <w:color w:val="auto"/>
          <w:szCs w:val="24"/>
          <w:u w:val="single"/>
        </w:rPr>
        <w:t xml:space="preserve"> </w:t>
      </w:r>
      <w:r w:rsidRPr="001F5812">
        <w:rPr>
          <w:rFonts w:asciiTheme="minorHAnsi" w:hAnsiTheme="minorHAnsi" w:cstheme="minorHAnsi"/>
          <w:b/>
          <w:i w:val="0"/>
          <w:color w:val="auto"/>
          <w:szCs w:val="24"/>
          <w:u w:val="single"/>
        </w:rPr>
        <w:t>- Quality Improvement: Level of Care</w:t>
      </w:r>
    </w:p>
    <w:p w14:paraId="0F5C3FB3" w14:textId="569FE74B" w:rsidR="00680FBB" w:rsidRPr="001F5812" w:rsidRDefault="00680FBB" w:rsidP="00B56862">
      <w:pPr>
        <w:pStyle w:val="ListParagraph"/>
        <w:numPr>
          <w:ilvl w:val="0"/>
          <w:numId w:val="28"/>
        </w:numPr>
        <w:spacing w:after="240" w:line="240" w:lineRule="auto"/>
        <w:rPr>
          <w:rFonts w:asciiTheme="minorHAnsi" w:hAnsiTheme="minorHAnsi" w:cstheme="minorHAnsi"/>
          <w:b/>
          <w:i w:val="0"/>
          <w:color w:val="auto"/>
          <w:szCs w:val="24"/>
        </w:rPr>
      </w:pPr>
      <w:r w:rsidRPr="001F5812">
        <w:rPr>
          <w:rFonts w:asciiTheme="minorHAnsi" w:hAnsiTheme="minorHAnsi" w:cstheme="minorHAnsi"/>
          <w:b/>
          <w:i w:val="0"/>
          <w:color w:val="auto"/>
          <w:szCs w:val="24"/>
        </w:rPr>
        <w:t>“Sub-assurance: The processes and instruments described in the approved waiver are applied appropriately and according to the approved description to determine participant level of care” Section: The Board recommends adding performance measures regarding the frequency and results of</w:t>
      </w:r>
      <w:r w:rsidR="004A5C07" w:rsidRPr="001F5812">
        <w:rPr>
          <w:rFonts w:asciiTheme="minorHAnsi" w:hAnsiTheme="minorHAnsi" w:cstheme="minorHAnsi"/>
          <w:b/>
          <w:i w:val="0"/>
          <w:color w:val="auto"/>
          <w:szCs w:val="24"/>
        </w:rPr>
        <w:t xml:space="preserve"> </w:t>
      </w:r>
      <w:r w:rsidR="00856992" w:rsidRPr="001F5812">
        <w:rPr>
          <w:rFonts w:asciiTheme="minorHAnsi" w:hAnsiTheme="minorHAnsi" w:cstheme="minorHAnsi"/>
          <w:b/>
          <w:i w:val="0"/>
          <w:color w:val="auto"/>
          <w:szCs w:val="24"/>
        </w:rPr>
        <w:t xml:space="preserve">related </w:t>
      </w:r>
      <w:r w:rsidR="004A5C07" w:rsidRPr="001F5812">
        <w:rPr>
          <w:rFonts w:asciiTheme="minorHAnsi" w:hAnsiTheme="minorHAnsi" w:cstheme="minorHAnsi"/>
          <w:b/>
          <w:i w:val="0"/>
          <w:color w:val="auto"/>
          <w:szCs w:val="24"/>
        </w:rPr>
        <w:t>complaints/grievances and</w:t>
      </w:r>
      <w:r w:rsidRPr="001F5812">
        <w:rPr>
          <w:rFonts w:asciiTheme="minorHAnsi" w:hAnsiTheme="minorHAnsi" w:cstheme="minorHAnsi"/>
          <w:b/>
          <w:i w:val="0"/>
          <w:color w:val="auto"/>
          <w:szCs w:val="24"/>
        </w:rPr>
        <w:t xml:space="preserve"> appeals.</w:t>
      </w:r>
    </w:p>
    <w:p w14:paraId="1CA6AF03" w14:textId="056C0585" w:rsidR="000E432B" w:rsidRPr="001F5812" w:rsidRDefault="00AB37E5" w:rsidP="00B56862">
      <w:pPr>
        <w:pStyle w:val="ListParagraph"/>
        <w:spacing w:after="240" w:line="240" w:lineRule="auto"/>
        <w:ind w:left="360"/>
        <w:rPr>
          <w:rFonts w:asciiTheme="minorHAnsi" w:hAnsiTheme="minorHAnsi" w:cstheme="minorHAnsi"/>
          <w:i w:val="0"/>
          <w:color w:val="auto"/>
          <w:szCs w:val="24"/>
        </w:rPr>
      </w:pPr>
      <w:r w:rsidRPr="001F5812">
        <w:rPr>
          <w:rFonts w:asciiTheme="minorHAnsi" w:hAnsiTheme="minorHAnsi" w:cstheme="minorHAnsi"/>
          <w:i w:val="0"/>
          <w:color w:val="auto"/>
          <w:szCs w:val="24"/>
        </w:rPr>
        <w:t xml:space="preserve">The proposed performance measure, “Number and percent of VIDES determinations that followed the required process as completed by a qualified CM, conducted face-to-face with individuals and those who know him (if needed)” is too narrow. It implies that the only </w:t>
      </w:r>
      <w:r w:rsidR="000E432B" w:rsidRPr="001F5812">
        <w:rPr>
          <w:rFonts w:asciiTheme="minorHAnsi" w:hAnsiTheme="minorHAnsi" w:cstheme="minorHAnsi"/>
          <w:i w:val="0"/>
          <w:color w:val="auto"/>
          <w:szCs w:val="24"/>
        </w:rPr>
        <w:t>components</w:t>
      </w:r>
      <w:r w:rsidRPr="001F5812">
        <w:rPr>
          <w:rFonts w:asciiTheme="minorHAnsi" w:hAnsiTheme="minorHAnsi" w:cstheme="minorHAnsi"/>
          <w:i w:val="0"/>
          <w:color w:val="auto"/>
          <w:szCs w:val="24"/>
        </w:rPr>
        <w:t xml:space="preserve"> of</w:t>
      </w:r>
      <w:r w:rsidR="008176E5" w:rsidRPr="001F5812">
        <w:rPr>
          <w:rFonts w:asciiTheme="minorHAnsi" w:hAnsiTheme="minorHAnsi" w:cstheme="minorHAnsi"/>
          <w:i w:val="0"/>
          <w:color w:val="auto"/>
          <w:szCs w:val="24"/>
        </w:rPr>
        <w:t xml:space="preserve"> an</w:t>
      </w:r>
      <w:r w:rsidRPr="001F5812">
        <w:rPr>
          <w:rFonts w:asciiTheme="minorHAnsi" w:hAnsiTheme="minorHAnsi" w:cstheme="minorHAnsi"/>
          <w:i w:val="0"/>
          <w:color w:val="auto"/>
          <w:szCs w:val="24"/>
        </w:rPr>
        <w:t xml:space="preserve"> appropriate evaluation are whether the individual conducting it is “qualified” and whether it was conducted face-to-face with the individual and those who know him</w:t>
      </w:r>
      <w:r w:rsidR="00900088" w:rsidRPr="001F5812">
        <w:rPr>
          <w:rFonts w:asciiTheme="minorHAnsi" w:hAnsiTheme="minorHAnsi" w:cstheme="minorHAnsi"/>
          <w:i w:val="0"/>
          <w:color w:val="auto"/>
          <w:szCs w:val="24"/>
        </w:rPr>
        <w:t xml:space="preserve"> or her</w:t>
      </w:r>
      <w:r w:rsidRPr="001F5812">
        <w:rPr>
          <w:rFonts w:asciiTheme="minorHAnsi" w:hAnsiTheme="minorHAnsi" w:cstheme="minorHAnsi"/>
          <w:i w:val="0"/>
          <w:color w:val="auto"/>
          <w:szCs w:val="24"/>
        </w:rPr>
        <w:t xml:space="preserve">. </w:t>
      </w:r>
      <w:r w:rsidR="000E432B" w:rsidRPr="001F5812">
        <w:rPr>
          <w:rFonts w:asciiTheme="minorHAnsi" w:hAnsiTheme="minorHAnsi" w:cstheme="minorHAnsi"/>
          <w:i w:val="0"/>
          <w:color w:val="auto"/>
          <w:szCs w:val="24"/>
        </w:rPr>
        <w:t>These two components do not ensure that other components of the administration process, such as appropriately applying the instrument’s instructions</w:t>
      </w:r>
      <w:r w:rsidR="004A3781" w:rsidRPr="001F5812">
        <w:rPr>
          <w:rFonts w:asciiTheme="minorHAnsi" w:hAnsiTheme="minorHAnsi" w:cstheme="minorHAnsi"/>
          <w:i w:val="0"/>
          <w:color w:val="auto"/>
          <w:szCs w:val="24"/>
        </w:rPr>
        <w:t xml:space="preserve"> and obtaining the appropriate information</w:t>
      </w:r>
      <w:r w:rsidR="000E432B" w:rsidRPr="001F5812">
        <w:rPr>
          <w:rFonts w:asciiTheme="minorHAnsi" w:hAnsiTheme="minorHAnsi" w:cstheme="minorHAnsi"/>
          <w:i w:val="0"/>
          <w:color w:val="auto"/>
          <w:szCs w:val="24"/>
        </w:rPr>
        <w:t xml:space="preserve">, are adequate. It is also unclear who is determining whether the appropriate individuals participated in the evaluation, and how they are determining this. </w:t>
      </w:r>
    </w:p>
    <w:p w14:paraId="7BF2325C" w14:textId="3B440393" w:rsidR="00680FBB" w:rsidRPr="001F5812" w:rsidRDefault="000E432B" w:rsidP="00B56862">
      <w:pPr>
        <w:pStyle w:val="ListParagraph"/>
        <w:spacing w:after="240" w:line="240" w:lineRule="auto"/>
        <w:ind w:left="360"/>
        <w:rPr>
          <w:rFonts w:asciiTheme="minorHAnsi" w:hAnsiTheme="minorHAnsi" w:cstheme="minorHAnsi"/>
          <w:i w:val="0"/>
          <w:color w:val="auto"/>
          <w:szCs w:val="24"/>
        </w:rPr>
      </w:pPr>
      <w:r w:rsidRPr="001F5812">
        <w:rPr>
          <w:rFonts w:asciiTheme="minorHAnsi" w:hAnsiTheme="minorHAnsi" w:cstheme="minorHAnsi"/>
          <w:i w:val="0"/>
          <w:color w:val="auto"/>
          <w:szCs w:val="24"/>
        </w:rPr>
        <w:t xml:space="preserve">One source of information regarding whether the processes and instruments are applied appropriately is </w:t>
      </w:r>
      <w:r w:rsidR="00EF1D76" w:rsidRPr="001F5812">
        <w:rPr>
          <w:rFonts w:asciiTheme="minorHAnsi" w:hAnsiTheme="minorHAnsi" w:cstheme="minorHAnsi"/>
          <w:i w:val="0"/>
          <w:color w:val="auto"/>
          <w:szCs w:val="24"/>
        </w:rPr>
        <w:t>complaints</w:t>
      </w:r>
      <w:r w:rsidR="00317970" w:rsidRPr="001F5812">
        <w:rPr>
          <w:rFonts w:asciiTheme="minorHAnsi" w:hAnsiTheme="minorHAnsi" w:cstheme="minorHAnsi"/>
          <w:i w:val="0"/>
          <w:color w:val="auto"/>
          <w:szCs w:val="24"/>
        </w:rPr>
        <w:t>/grievances</w:t>
      </w:r>
      <w:r w:rsidR="00EF1D76" w:rsidRPr="001F5812">
        <w:rPr>
          <w:rFonts w:asciiTheme="minorHAnsi" w:hAnsiTheme="minorHAnsi" w:cstheme="minorHAnsi"/>
          <w:i w:val="0"/>
          <w:color w:val="auto"/>
          <w:szCs w:val="24"/>
        </w:rPr>
        <w:t xml:space="preserve"> or </w:t>
      </w:r>
      <w:r w:rsidRPr="001F5812">
        <w:rPr>
          <w:rFonts w:asciiTheme="minorHAnsi" w:hAnsiTheme="minorHAnsi" w:cstheme="minorHAnsi"/>
          <w:i w:val="0"/>
          <w:color w:val="auto"/>
          <w:szCs w:val="24"/>
        </w:rPr>
        <w:t xml:space="preserve">appeals. Information on </w:t>
      </w:r>
      <w:r w:rsidR="002F5241" w:rsidRPr="001F5812">
        <w:rPr>
          <w:rFonts w:asciiTheme="minorHAnsi" w:hAnsiTheme="minorHAnsi" w:cstheme="minorHAnsi"/>
          <w:i w:val="0"/>
          <w:color w:val="auto"/>
          <w:szCs w:val="24"/>
        </w:rPr>
        <w:t>related</w:t>
      </w:r>
      <w:r w:rsidR="006D2A35" w:rsidRPr="001F5812">
        <w:rPr>
          <w:rFonts w:asciiTheme="minorHAnsi" w:hAnsiTheme="minorHAnsi" w:cstheme="minorHAnsi"/>
          <w:i w:val="0"/>
          <w:color w:val="auto"/>
          <w:szCs w:val="24"/>
        </w:rPr>
        <w:t xml:space="preserve"> </w:t>
      </w:r>
      <w:r w:rsidR="008D4A8B" w:rsidRPr="001F5812">
        <w:rPr>
          <w:rFonts w:asciiTheme="minorHAnsi" w:hAnsiTheme="minorHAnsi" w:cstheme="minorHAnsi"/>
          <w:i w:val="0"/>
          <w:color w:val="auto"/>
          <w:szCs w:val="24"/>
        </w:rPr>
        <w:lastRenderedPageBreak/>
        <w:t>complaints</w:t>
      </w:r>
      <w:r w:rsidR="00317970" w:rsidRPr="001F5812">
        <w:rPr>
          <w:rFonts w:asciiTheme="minorHAnsi" w:hAnsiTheme="minorHAnsi" w:cstheme="minorHAnsi"/>
          <w:i w:val="0"/>
          <w:color w:val="auto"/>
          <w:szCs w:val="24"/>
        </w:rPr>
        <w:t>/grievances</w:t>
      </w:r>
      <w:r w:rsidR="008D4A8B" w:rsidRPr="001F5812">
        <w:rPr>
          <w:rFonts w:asciiTheme="minorHAnsi" w:hAnsiTheme="minorHAnsi" w:cstheme="minorHAnsi"/>
          <w:i w:val="0"/>
          <w:color w:val="auto"/>
          <w:szCs w:val="24"/>
        </w:rPr>
        <w:t xml:space="preserve"> or </w:t>
      </w:r>
      <w:r w:rsidRPr="001F5812">
        <w:rPr>
          <w:rFonts w:asciiTheme="minorHAnsi" w:hAnsiTheme="minorHAnsi" w:cstheme="minorHAnsi"/>
          <w:i w:val="0"/>
          <w:color w:val="auto"/>
          <w:szCs w:val="24"/>
        </w:rPr>
        <w:t>appeals would incorporate important input from the individuals being eva</w:t>
      </w:r>
      <w:r w:rsidR="006D2A35" w:rsidRPr="001F5812">
        <w:rPr>
          <w:rFonts w:asciiTheme="minorHAnsi" w:hAnsiTheme="minorHAnsi" w:cstheme="minorHAnsi"/>
          <w:i w:val="0"/>
          <w:color w:val="auto"/>
          <w:szCs w:val="24"/>
        </w:rPr>
        <w:t xml:space="preserve">luated and those who know them. </w:t>
      </w:r>
      <w:r w:rsidR="00D44F0C" w:rsidRPr="001F5812">
        <w:rPr>
          <w:rFonts w:asciiTheme="minorHAnsi" w:hAnsiTheme="minorHAnsi" w:cstheme="minorHAnsi"/>
          <w:i w:val="0"/>
          <w:color w:val="auto"/>
          <w:szCs w:val="24"/>
        </w:rPr>
        <w:t xml:space="preserve">While not all </w:t>
      </w:r>
      <w:r w:rsidR="000E3D93" w:rsidRPr="001F5812">
        <w:rPr>
          <w:rFonts w:asciiTheme="minorHAnsi" w:hAnsiTheme="minorHAnsi" w:cstheme="minorHAnsi"/>
          <w:i w:val="0"/>
          <w:color w:val="auto"/>
          <w:szCs w:val="24"/>
        </w:rPr>
        <w:t>complaints</w:t>
      </w:r>
      <w:r w:rsidR="00317970" w:rsidRPr="001F5812">
        <w:rPr>
          <w:rFonts w:asciiTheme="minorHAnsi" w:hAnsiTheme="minorHAnsi" w:cstheme="minorHAnsi"/>
          <w:i w:val="0"/>
          <w:color w:val="auto"/>
          <w:szCs w:val="24"/>
        </w:rPr>
        <w:t>/grievances</w:t>
      </w:r>
      <w:r w:rsidR="000E3D93" w:rsidRPr="001F5812">
        <w:rPr>
          <w:rFonts w:asciiTheme="minorHAnsi" w:hAnsiTheme="minorHAnsi" w:cstheme="minorHAnsi"/>
          <w:i w:val="0"/>
          <w:color w:val="auto"/>
          <w:szCs w:val="24"/>
        </w:rPr>
        <w:t xml:space="preserve"> or </w:t>
      </w:r>
      <w:r w:rsidR="00D44F0C" w:rsidRPr="001F5812">
        <w:rPr>
          <w:rFonts w:asciiTheme="minorHAnsi" w:hAnsiTheme="minorHAnsi" w:cstheme="minorHAnsi"/>
          <w:i w:val="0"/>
          <w:color w:val="auto"/>
          <w:szCs w:val="24"/>
        </w:rPr>
        <w:t xml:space="preserve">appeal requests may be valid, the frequency with which </w:t>
      </w:r>
      <w:r w:rsidR="000E3D93" w:rsidRPr="001F5812">
        <w:rPr>
          <w:rFonts w:asciiTheme="minorHAnsi" w:hAnsiTheme="minorHAnsi" w:cstheme="minorHAnsi"/>
          <w:i w:val="0"/>
          <w:color w:val="auto"/>
          <w:szCs w:val="24"/>
        </w:rPr>
        <w:t>complaints</w:t>
      </w:r>
      <w:r w:rsidR="00317970" w:rsidRPr="001F5812">
        <w:rPr>
          <w:rFonts w:asciiTheme="minorHAnsi" w:hAnsiTheme="minorHAnsi" w:cstheme="minorHAnsi"/>
          <w:i w:val="0"/>
          <w:color w:val="auto"/>
          <w:szCs w:val="24"/>
        </w:rPr>
        <w:t>/grievances</w:t>
      </w:r>
      <w:r w:rsidR="000E3D93" w:rsidRPr="001F5812">
        <w:rPr>
          <w:rFonts w:asciiTheme="minorHAnsi" w:hAnsiTheme="minorHAnsi" w:cstheme="minorHAnsi"/>
          <w:i w:val="0"/>
          <w:color w:val="auto"/>
          <w:szCs w:val="24"/>
        </w:rPr>
        <w:t xml:space="preserve"> are made or </w:t>
      </w:r>
      <w:r w:rsidR="00D44F0C" w:rsidRPr="001F5812">
        <w:rPr>
          <w:rFonts w:asciiTheme="minorHAnsi" w:hAnsiTheme="minorHAnsi" w:cstheme="minorHAnsi"/>
          <w:i w:val="0"/>
          <w:color w:val="auto"/>
          <w:szCs w:val="24"/>
        </w:rPr>
        <w:t xml:space="preserve">appeals are requested can be an indicator of systematic problems. Furthermore, the frequency of appeals that are resolved in the appellant’s favor is also indicative of potential problems. </w:t>
      </w:r>
      <w:r w:rsidRPr="001F5812">
        <w:rPr>
          <w:rFonts w:asciiTheme="minorHAnsi" w:hAnsiTheme="minorHAnsi" w:cstheme="minorHAnsi"/>
          <w:i w:val="0"/>
          <w:color w:val="auto"/>
          <w:szCs w:val="24"/>
        </w:rPr>
        <w:t>The</w:t>
      </w:r>
      <w:r w:rsidR="00D44F0C" w:rsidRPr="001F5812">
        <w:rPr>
          <w:rFonts w:asciiTheme="minorHAnsi" w:hAnsiTheme="minorHAnsi" w:cstheme="minorHAnsi"/>
          <w:i w:val="0"/>
          <w:color w:val="auto"/>
          <w:szCs w:val="24"/>
        </w:rPr>
        <w:t>refore, the</w:t>
      </w:r>
      <w:r w:rsidRPr="001F5812">
        <w:rPr>
          <w:rFonts w:asciiTheme="minorHAnsi" w:hAnsiTheme="minorHAnsi" w:cstheme="minorHAnsi"/>
          <w:i w:val="0"/>
          <w:color w:val="auto"/>
          <w:szCs w:val="24"/>
        </w:rPr>
        <w:t xml:space="preserve"> waiver application should </w:t>
      </w:r>
      <w:r w:rsidR="00D44F0C" w:rsidRPr="001F5812">
        <w:rPr>
          <w:rFonts w:asciiTheme="minorHAnsi" w:hAnsiTheme="minorHAnsi" w:cstheme="minorHAnsi"/>
          <w:i w:val="0"/>
          <w:color w:val="auto"/>
          <w:szCs w:val="24"/>
        </w:rPr>
        <w:t xml:space="preserve">include performance measures regarding the percentage of </w:t>
      </w:r>
      <w:r w:rsidR="005367EF" w:rsidRPr="001F5812">
        <w:rPr>
          <w:rFonts w:asciiTheme="minorHAnsi" w:hAnsiTheme="minorHAnsi" w:cstheme="minorHAnsi"/>
          <w:i w:val="0"/>
          <w:color w:val="auto"/>
          <w:szCs w:val="24"/>
        </w:rPr>
        <w:t xml:space="preserve">VIDES </w:t>
      </w:r>
      <w:r w:rsidR="00D44F0C" w:rsidRPr="001F5812">
        <w:rPr>
          <w:rFonts w:asciiTheme="minorHAnsi" w:hAnsiTheme="minorHAnsi" w:cstheme="minorHAnsi"/>
          <w:i w:val="0"/>
          <w:color w:val="auto"/>
          <w:szCs w:val="24"/>
        </w:rPr>
        <w:t xml:space="preserve">evaluations </w:t>
      </w:r>
      <w:r w:rsidR="005367EF" w:rsidRPr="001F5812">
        <w:rPr>
          <w:rFonts w:asciiTheme="minorHAnsi" w:hAnsiTheme="minorHAnsi" w:cstheme="minorHAnsi"/>
          <w:i w:val="0"/>
          <w:color w:val="auto"/>
          <w:szCs w:val="24"/>
        </w:rPr>
        <w:t xml:space="preserve">and need prioritizations </w:t>
      </w:r>
      <w:r w:rsidR="00D44F0C" w:rsidRPr="001F5812">
        <w:rPr>
          <w:rFonts w:asciiTheme="minorHAnsi" w:hAnsiTheme="minorHAnsi" w:cstheme="minorHAnsi"/>
          <w:i w:val="0"/>
          <w:color w:val="auto"/>
          <w:szCs w:val="24"/>
        </w:rPr>
        <w:t>that are appealed</w:t>
      </w:r>
      <w:r w:rsidR="000E3D93" w:rsidRPr="001F5812">
        <w:rPr>
          <w:rFonts w:asciiTheme="minorHAnsi" w:hAnsiTheme="minorHAnsi" w:cstheme="minorHAnsi"/>
          <w:i w:val="0"/>
          <w:color w:val="auto"/>
          <w:szCs w:val="24"/>
        </w:rPr>
        <w:t xml:space="preserve"> or</w:t>
      </w:r>
      <w:r w:rsidR="00F66557" w:rsidRPr="001F5812">
        <w:rPr>
          <w:rFonts w:asciiTheme="minorHAnsi" w:hAnsiTheme="minorHAnsi" w:cstheme="minorHAnsi"/>
          <w:i w:val="0"/>
          <w:color w:val="auto"/>
          <w:szCs w:val="24"/>
        </w:rPr>
        <w:t xml:space="preserve"> are</w:t>
      </w:r>
      <w:r w:rsidR="000E3D93" w:rsidRPr="001F5812">
        <w:rPr>
          <w:rFonts w:asciiTheme="minorHAnsi" w:hAnsiTheme="minorHAnsi" w:cstheme="minorHAnsi"/>
          <w:i w:val="0"/>
          <w:color w:val="auto"/>
          <w:szCs w:val="24"/>
        </w:rPr>
        <w:t xml:space="preserve"> the subject of complaints</w:t>
      </w:r>
      <w:r w:rsidR="00317970" w:rsidRPr="001F5812">
        <w:rPr>
          <w:rFonts w:asciiTheme="minorHAnsi" w:hAnsiTheme="minorHAnsi" w:cstheme="minorHAnsi"/>
          <w:i w:val="0"/>
          <w:color w:val="auto"/>
          <w:szCs w:val="24"/>
        </w:rPr>
        <w:t>/grievances</w:t>
      </w:r>
      <w:r w:rsidR="00D44F0C" w:rsidRPr="001F5812">
        <w:rPr>
          <w:rFonts w:asciiTheme="minorHAnsi" w:hAnsiTheme="minorHAnsi" w:cstheme="minorHAnsi"/>
          <w:i w:val="0"/>
          <w:color w:val="auto"/>
          <w:szCs w:val="24"/>
        </w:rPr>
        <w:t xml:space="preserve">, and the percentage of appeals </w:t>
      </w:r>
      <w:r w:rsidR="00BE108E" w:rsidRPr="001F5812">
        <w:rPr>
          <w:rFonts w:asciiTheme="minorHAnsi" w:hAnsiTheme="minorHAnsi" w:cstheme="minorHAnsi"/>
          <w:i w:val="0"/>
          <w:color w:val="auto"/>
          <w:szCs w:val="24"/>
        </w:rPr>
        <w:t xml:space="preserve">regarding VIDES evaluations and need prioritizations </w:t>
      </w:r>
      <w:r w:rsidR="00D44F0C" w:rsidRPr="001F5812">
        <w:rPr>
          <w:rFonts w:asciiTheme="minorHAnsi" w:hAnsiTheme="minorHAnsi" w:cstheme="minorHAnsi"/>
          <w:i w:val="0"/>
          <w:color w:val="auto"/>
          <w:szCs w:val="24"/>
        </w:rPr>
        <w:t>that are resolved in the appellants’ favor.</w:t>
      </w:r>
    </w:p>
    <w:p w14:paraId="3E25AFFA" w14:textId="70E1E7FD" w:rsidR="00B73D8E" w:rsidRPr="001F5812" w:rsidRDefault="006E17F2" w:rsidP="000B0FA4">
      <w:pPr>
        <w:spacing w:after="240" w:line="240" w:lineRule="auto"/>
        <w:outlineLvl w:val="1"/>
        <w:rPr>
          <w:rFonts w:asciiTheme="minorHAnsi" w:hAnsiTheme="minorHAnsi" w:cstheme="minorHAnsi"/>
          <w:b/>
          <w:i w:val="0"/>
          <w:color w:val="auto"/>
          <w:szCs w:val="24"/>
          <w:u w:val="single"/>
        </w:rPr>
      </w:pPr>
      <w:r w:rsidRPr="001F5812">
        <w:rPr>
          <w:rFonts w:asciiTheme="minorHAnsi" w:hAnsiTheme="minorHAnsi" w:cstheme="minorHAnsi"/>
          <w:b/>
          <w:i w:val="0"/>
          <w:color w:val="auto"/>
          <w:szCs w:val="24"/>
          <w:u w:val="single"/>
        </w:rPr>
        <w:t>Appendix C</w:t>
      </w:r>
      <w:r w:rsidR="00CC154D" w:rsidRPr="001F5812">
        <w:rPr>
          <w:rFonts w:asciiTheme="minorHAnsi" w:hAnsiTheme="minorHAnsi" w:cstheme="minorHAnsi"/>
          <w:b/>
          <w:i w:val="0"/>
          <w:color w:val="auto"/>
          <w:szCs w:val="24"/>
          <w:u w:val="single"/>
        </w:rPr>
        <w:t>-1</w:t>
      </w:r>
      <w:r w:rsidRPr="001F5812">
        <w:rPr>
          <w:rFonts w:asciiTheme="minorHAnsi" w:hAnsiTheme="minorHAnsi" w:cstheme="minorHAnsi"/>
          <w:b/>
          <w:i w:val="0"/>
          <w:color w:val="auto"/>
          <w:szCs w:val="24"/>
          <w:u w:val="single"/>
        </w:rPr>
        <w:t>:</w:t>
      </w:r>
      <w:r w:rsidR="00DF551D" w:rsidRPr="001F5812">
        <w:rPr>
          <w:rFonts w:asciiTheme="minorHAnsi" w:hAnsiTheme="minorHAnsi" w:cstheme="minorHAnsi"/>
          <w:b/>
          <w:i w:val="0"/>
          <w:color w:val="auto"/>
          <w:szCs w:val="24"/>
          <w:u w:val="single"/>
        </w:rPr>
        <w:t xml:space="preserve"> </w:t>
      </w:r>
      <w:r w:rsidRPr="001F5812">
        <w:rPr>
          <w:rFonts w:asciiTheme="minorHAnsi" w:hAnsiTheme="minorHAnsi" w:cstheme="minorHAnsi"/>
          <w:b/>
          <w:i w:val="0"/>
          <w:color w:val="auto"/>
          <w:szCs w:val="24"/>
          <w:u w:val="single"/>
        </w:rPr>
        <w:t>Participant</w:t>
      </w:r>
      <w:r w:rsidR="00B73D8E" w:rsidRPr="001F5812">
        <w:rPr>
          <w:rFonts w:asciiTheme="minorHAnsi" w:hAnsiTheme="minorHAnsi" w:cstheme="minorHAnsi"/>
          <w:b/>
          <w:i w:val="0"/>
          <w:color w:val="auto"/>
          <w:szCs w:val="24"/>
          <w:u w:val="single"/>
        </w:rPr>
        <w:t xml:space="preserve"> Services</w:t>
      </w:r>
      <w:r w:rsidR="007B7994" w:rsidRPr="001F5812">
        <w:rPr>
          <w:rFonts w:asciiTheme="minorHAnsi" w:hAnsiTheme="minorHAnsi" w:cstheme="minorHAnsi"/>
          <w:b/>
          <w:i w:val="0"/>
          <w:color w:val="auto"/>
          <w:szCs w:val="24"/>
          <w:u w:val="single"/>
        </w:rPr>
        <w:t xml:space="preserve"> </w:t>
      </w:r>
      <w:r w:rsidR="00CC154D" w:rsidRPr="001F5812">
        <w:rPr>
          <w:rFonts w:asciiTheme="minorHAnsi" w:hAnsiTheme="minorHAnsi" w:cstheme="minorHAnsi"/>
          <w:b/>
          <w:i w:val="0"/>
          <w:color w:val="auto"/>
          <w:szCs w:val="24"/>
          <w:u w:val="single"/>
        </w:rPr>
        <w:t>- Summary of Services Covered</w:t>
      </w:r>
    </w:p>
    <w:p w14:paraId="15D63828" w14:textId="3A59A364" w:rsidR="001976E3" w:rsidRPr="001F5812" w:rsidRDefault="001976E3" w:rsidP="003F51B1">
      <w:pPr>
        <w:pStyle w:val="ListParagraph"/>
        <w:numPr>
          <w:ilvl w:val="0"/>
          <w:numId w:val="28"/>
        </w:numPr>
        <w:spacing w:after="240" w:line="240" w:lineRule="auto"/>
        <w:outlineLvl w:val="2"/>
        <w:rPr>
          <w:rFonts w:asciiTheme="minorHAnsi" w:hAnsiTheme="minorHAnsi" w:cstheme="minorHAnsi"/>
          <w:b/>
          <w:i w:val="0"/>
          <w:color w:val="auto"/>
          <w:szCs w:val="24"/>
        </w:rPr>
      </w:pPr>
      <w:r w:rsidRPr="001F5812">
        <w:rPr>
          <w:rFonts w:asciiTheme="minorHAnsi" w:hAnsiTheme="minorHAnsi" w:cstheme="minorHAnsi"/>
          <w:b/>
          <w:i w:val="0"/>
          <w:color w:val="auto"/>
          <w:szCs w:val="24"/>
        </w:rPr>
        <w:t xml:space="preserve">The </w:t>
      </w:r>
      <w:r w:rsidR="0017540D" w:rsidRPr="001F5812">
        <w:rPr>
          <w:rFonts w:asciiTheme="minorHAnsi" w:hAnsiTheme="minorHAnsi" w:cstheme="minorHAnsi"/>
          <w:b/>
          <w:i w:val="0"/>
          <w:color w:val="auto"/>
          <w:szCs w:val="24"/>
        </w:rPr>
        <w:t>Board recommends re-examining the role</w:t>
      </w:r>
      <w:r w:rsidRPr="001F5812">
        <w:rPr>
          <w:rFonts w:asciiTheme="minorHAnsi" w:hAnsiTheme="minorHAnsi" w:cstheme="minorHAnsi"/>
          <w:b/>
          <w:i w:val="0"/>
          <w:color w:val="auto"/>
          <w:szCs w:val="24"/>
        </w:rPr>
        <w:t xml:space="preserve"> of the consumer</w:t>
      </w:r>
      <w:r w:rsidR="00984A38" w:rsidRPr="001F5812">
        <w:rPr>
          <w:rFonts w:asciiTheme="minorHAnsi" w:hAnsiTheme="minorHAnsi" w:cstheme="minorHAnsi"/>
          <w:b/>
          <w:i w:val="0"/>
          <w:color w:val="auto"/>
          <w:szCs w:val="24"/>
        </w:rPr>
        <w:t>-</w:t>
      </w:r>
      <w:r w:rsidRPr="001F5812">
        <w:rPr>
          <w:rFonts w:asciiTheme="minorHAnsi" w:hAnsiTheme="minorHAnsi" w:cstheme="minorHAnsi"/>
          <w:b/>
          <w:i w:val="0"/>
          <w:color w:val="auto"/>
          <w:szCs w:val="24"/>
        </w:rPr>
        <w:t xml:space="preserve">directed services </w:t>
      </w:r>
      <w:r w:rsidR="0017540D" w:rsidRPr="001F5812">
        <w:rPr>
          <w:rFonts w:asciiTheme="minorHAnsi" w:hAnsiTheme="minorHAnsi" w:cstheme="minorHAnsi"/>
          <w:b/>
          <w:i w:val="0"/>
          <w:color w:val="auto"/>
          <w:szCs w:val="24"/>
        </w:rPr>
        <w:t xml:space="preserve">facilitator </w:t>
      </w:r>
      <w:r w:rsidR="008D0641" w:rsidRPr="001F5812">
        <w:rPr>
          <w:rFonts w:asciiTheme="minorHAnsi" w:hAnsiTheme="minorHAnsi" w:cstheme="minorHAnsi"/>
          <w:b/>
          <w:i w:val="0"/>
          <w:color w:val="auto"/>
          <w:szCs w:val="24"/>
        </w:rPr>
        <w:t>to eliminate unnecessary duplication of functions and more clearly delineate the roles of services facilitators, support coordinators, and CCC Plus care coordinators</w:t>
      </w:r>
      <w:r w:rsidRPr="001F5812">
        <w:rPr>
          <w:rFonts w:asciiTheme="minorHAnsi" w:hAnsiTheme="minorHAnsi" w:cstheme="minorHAnsi"/>
          <w:b/>
          <w:i w:val="0"/>
          <w:color w:val="auto"/>
          <w:szCs w:val="24"/>
        </w:rPr>
        <w:t>.</w:t>
      </w:r>
    </w:p>
    <w:p w14:paraId="7AD28099" w14:textId="54811F14" w:rsidR="00D37068" w:rsidRPr="001F5812" w:rsidRDefault="008D0641" w:rsidP="00B56862">
      <w:pPr>
        <w:spacing w:after="240" w:line="240" w:lineRule="auto"/>
        <w:ind w:left="360"/>
        <w:rPr>
          <w:rFonts w:asciiTheme="minorHAnsi" w:hAnsiTheme="minorHAnsi" w:cstheme="minorHAnsi"/>
          <w:i w:val="0"/>
          <w:color w:val="auto"/>
          <w:szCs w:val="24"/>
        </w:rPr>
      </w:pPr>
      <w:r w:rsidRPr="001F5812">
        <w:rPr>
          <w:rFonts w:asciiTheme="minorHAnsi" w:hAnsiTheme="minorHAnsi" w:cstheme="minorHAnsi"/>
          <w:i w:val="0"/>
          <w:color w:val="auto"/>
          <w:szCs w:val="24"/>
        </w:rPr>
        <w:t>S</w:t>
      </w:r>
      <w:r w:rsidR="0017540D" w:rsidRPr="001F5812">
        <w:rPr>
          <w:rFonts w:asciiTheme="minorHAnsi" w:hAnsiTheme="minorHAnsi" w:cstheme="minorHAnsi"/>
          <w:i w:val="0"/>
          <w:color w:val="auto"/>
          <w:szCs w:val="24"/>
        </w:rPr>
        <w:t>ervice facilitators, support coordinators, and CCC Plus care coordinators are all responsible for monitoring waiver services.</w:t>
      </w:r>
      <w:r w:rsidR="009E38A6" w:rsidRPr="001F5812">
        <w:rPr>
          <w:rFonts w:asciiTheme="minorHAnsi" w:hAnsiTheme="minorHAnsi" w:cstheme="minorHAnsi"/>
          <w:i w:val="0"/>
          <w:color w:val="auto"/>
          <w:szCs w:val="24"/>
        </w:rPr>
        <w:t xml:space="preserve"> </w:t>
      </w:r>
      <w:r w:rsidR="006D0C7F" w:rsidRPr="001F5812">
        <w:rPr>
          <w:rFonts w:asciiTheme="minorHAnsi" w:hAnsiTheme="minorHAnsi" w:cstheme="minorHAnsi"/>
          <w:i w:val="0"/>
          <w:color w:val="auto"/>
          <w:szCs w:val="24"/>
        </w:rPr>
        <w:t>This can result in duplication of effort, diffusion of responsibility, c</w:t>
      </w:r>
      <w:r w:rsidRPr="001F5812">
        <w:rPr>
          <w:rFonts w:asciiTheme="minorHAnsi" w:hAnsiTheme="minorHAnsi" w:cstheme="minorHAnsi"/>
          <w:i w:val="0"/>
          <w:color w:val="auto"/>
          <w:szCs w:val="24"/>
        </w:rPr>
        <w:t xml:space="preserve">onfusion, </w:t>
      </w:r>
      <w:r w:rsidR="006D0C7F" w:rsidRPr="001F5812">
        <w:rPr>
          <w:rFonts w:asciiTheme="minorHAnsi" w:hAnsiTheme="minorHAnsi" w:cstheme="minorHAnsi"/>
          <w:i w:val="0"/>
          <w:color w:val="auto"/>
          <w:szCs w:val="24"/>
        </w:rPr>
        <w:t xml:space="preserve">and </w:t>
      </w:r>
      <w:r w:rsidRPr="001F5812">
        <w:rPr>
          <w:rFonts w:asciiTheme="minorHAnsi" w:hAnsiTheme="minorHAnsi" w:cstheme="minorHAnsi"/>
          <w:i w:val="0"/>
          <w:color w:val="auto"/>
          <w:szCs w:val="24"/>
        </w:rPr>
        <w:t>reduce</w:t>
      </w:r>
      <w:r w:rsidR="006D0C7F" w:rsidRPr="001F5812">
        <w:rPr>
          <w:rFonts w:asciiTheme="minorHAnsi" w:hAnsiTheme="minorHAnsi" w:cstheme="minorHAnsi"/>
          <w:i w:val="0"/>
          <w:color w:val="auto"/>
          <w:szCs w:val="24"/>
        </w:rPr>
        <w:t>d</w:t>
      </w:r>
      <w:r w:rsidRPr="001F5812">
        <w:rPr>
          <w:rFonts w:asciiTheme="minorHAnsi" w:hAnsiTheme="minorHAnsi" w:cstheme="minorHAnsi"/>
          <w:i w:val="0"/>
          <w:color w:val="auto"/>
          <w:szCs w:val="24"/>
        </w:rPr>
        <w:t xml:space="preserve"> individual ownership of responsibility</w:t>
      </w:r>
      <w:r w:rsidR="006D0C7F" w:rsidRPr="001F5812">
        <w:rPr>
          <w:rFonts w:asciiTheme="minorHAnsi" w:hAnsiTheme="minorHAnsi" w:cstheme="minorHAnsi"/>
          <w:i w:val="0"/>
          <w:color w:val="auto"/>
          <w:szCs w:val="24"/>
        </w:rPr>
        <w:t>. It can also</w:t>
      </w:r>
      <w:r w:rsidRPr="001F5812">
        <w:rPr>
          <w:rFonts w:asciiTheme="minorHAnsi" w:hAnsiTheme="minorHAnsi" w:cstheme="minorHAnsi"/>
          <w:i w:val="0"/>
          <w:color w:val="auto"/>
          <w:szCs w:val="24"/>
        </w:rPr>
        <w:t xml:space="preserve"> unduly burden individuals who must accommodate </w:t>
      </w:r>
      <w:r w:rsidR="006D0C7F" w:rsidRPr="001F5812">
        <w:rPr>
          <w:rFonts w:asciiTheme="minorHAnsi" w:hAnsiTheme="minorHAnsi" w:cstheme="minorHAnsi"/>
          <w:i w:val="0"/>
          <w:color w:val="auto"/>
          <w:szCs w:val="24"/>
        </w:rPr>
        <w:t xml:space="preserve">multiple </w:t>
      </w:r>
      <w:r w:rsidRPr="001F5812">
        <w:rPr>
          <w:rFonts w:asciiTheme="minorHAnsi" w:hAnsiTheme="minorHAnsi" w:cstheme="minorHAnsi"/>
          <w:i w:val="0"/>
          <w:color w:val="auto"/>
          <w:szCs w:val="24"/>
        </w:rPr>
        <w:t xml:space="preserve">home visits and </w:t>
      </w:r>
      <w:r w:rsidR="006D0C7F" w:rsidRPr="001F5812">
        <w:rPr>
          <w:rFonts w:asciiTheme="minorHAnsi" w:hAnsiTheme="minorHAnsi" w:cstheme="minorHAnsi"/>
          <w:i w:val="0"/>
          <w:color w:val="auto"/>
          <w:szCs w:val="24"/>
        </w:rPr>
        <w:t>assessments.</w:t>
      </w:r>
      <w:r w:rsidR="007C7817" w:rsidRPr="001F5812">
        <w:rPr>
          <w:rFonts w:asciiTheme="minorHAnsi" w:hAnsiTheme="minorHAnsi" w:cstheme="minorHAnsi"/>
          <w:i w:val="0"/>
          <w:color w:val="auto"/>
          <w:szCs w:val="24"/>
        </w:rPr>
        <w:t xml:space="preserve"> </w:t>
      </w:r>
    </w:p>
    <w:p w14:paraId="359733ED" w14:textId="43D4FCCA" w:rsidR="001976E3" w:rsidRPr="001F5812" w:rsidRDefault="00E77DF9" w:rsidP="00B56862">
      <w:pPr>
        <w:spacing w:after="240" w:line="240" w:lineRule="auto"/>
        <w:ind w:left="360"/>
        <w:rPr>
          <w:rFonts w:asciiTheme="minorHAnsi" w:hAnsiTheme="minorHAnsi" w:cstheme="minorHAnsi"/>
          <w:i w:val="0"/>
          <w:color w:val="auto"/>
          <w:szCs w:val="24"/>
        </w:rPr>
      </w:pPr>
      <w:r w:rsidRPr="001F5812">
        <w:rPr>
          <w:rFonts w:asciiTheme="minorHAnsi" w:hAnsiTheme="minorHAnsi" w:cstheme="minorHAnsi"/>
          <w:i w:val="0"/>
          <w:color w:val="auto"/>
          <w:szCs w:val="24"/>
        </w:rPr>
        <w:t>When various parties have overlapping roles, DMAS should either distinguish how each party’s contribution to the overall role differs from the others</w:t>
      </w:r>
      <w:r w:rsidR="001245A5" w:rsidRPr="001F5812">
        <w:rPr>
          <w:rFonts w:asciiTheme="minorHAnsi" w:hAnsiTheme="minorHAnsi" w:cstheme="minorHAnsi"/>
          <w:i w:val="0"/>
          <w:color w:val="auto"/>
          <w:szCs w:val="24"/>
        </w:rPr>
        <w:t>’ contributions</w:t>
      </w:r>
      <w:r w:rsidRPr="001F5812">
        <w:rPr>
          <w:rFonts w:asciiTheme="minorHAnsi" w:hAnsiTheme="minorHAnsi" w:cstheme="minorHAnsi"/>
          <w:i w:val="0"/>
          <w:color w:val="auto"/>
          <w:szCs w:val="24"/>
        </w:rPr>
        <w:t xml:space="preserve"> or, if the contributions do not differ, consolidate the role under fewer parties. </w:t>
      </w:r>
      <w:r w:rsidR="001245A5" w:rsidRPr="001F5812">
        <w:rPr>
          <w:rFonts w:asciiTheme="minorHAnsi" w:hAnsiTheme="minorHAnsi" w:cstheme="minorHAnsi"/>
          <w:i w:val="0"/>
          <w:color w:val="auto"/>
          <w:szCs w:val="24"/>
        </w:rPr>
        <w:t>If the majority of the service facilitator’s roles are also shared by other parties,</w:t>
      </w:r>
      <w:r w:rsidR="00880E1C" w:rsidRPr="001F5812">
        <w:rPr>
          <w:rFonts w:asciiTheme="minorHAnsi" w:hAnsiTheme="minorHAnsi" w:cstheme="minorHAnsi"/>
          <w:i w:val="0"/>
          <w:color w:val="auto"/>
          <w:szCs w:val="24"/>
        </w:rPr>
        <w:t xml:space="preserve"> which appears to be the case,</w:t>
      </w:r>
      <w:r w:rsidR="001245A5" w:rsidRPr="001F5812">
        <w:rPr>
          <w:rFonts w:asciiTheme="minorHAnsi" w:hAnsiTheme="minorHAnsi" w:cstheme="minorHAnsi"/>
          <w:i w:val="0"/>
          <w:color w:val="auto"/>
          <w:szCs w:val="24"/>
        </w:rPr>
        <w:t xml:space="preserve"> DMAS should </w:t>
      </w:r>
      <w:r w:rsidR="00880E1C" w:rsidRPr="001F5812">
        <w:rPr>
          <w:rFonts w:asciiTheme="minorHAnsi" w:hAnsiTheme="minorHAnsi" w:cstheme="minorHAnsi"/>
          <w:i w:val="0"/>
          <w:color w:val="auto"/>
          <w:szCs w:val="24"/>
        </w:rPr>
        <w:t xml:space="preserve">also </w:t>
      </w:r>
      <w:r w:rsidR="001245A5" w:rsidRPr="001F5812">
        <w:rPr>
          <w:rFonts w:asciiTheme="minorHAnsi" w:hAnsiTheme="minorHAnsi" w:cstheme="minorHAnsi"/>
          <w:i w:val="0"/>
          <w:color w:val="auto"/>
          <w:szCs w:val="24"/>
        </w:rPr>
        <w:t xml:space="preserve">consider </w:t>
      </w:r>
      <w:r w:rsidR="00880E1C" w:rsidRPr="001F5812">
        <w:rPr>
          <w:rFonts w:asciiTheme="minorHAnsi" w:hAnsiTheme="minorHAnsi" w:cstheme="minorHAnsi"/>
          <w:i w:val="0"/>
          <w:color w:val="auto"/>
          <w:szCs w:val="24"/>
        </w:rPr>
        <w:t>transferring the remaining roles</w:t>
      </w:r>
      <w:r w:rsidR="00182D09" w:rsidRPr="001F5812">
        <w:rPr>
          <w:rFonts w:asciiTheme="minorHAnsi" w:hAnsiTheme="minorHAnsi" w:cstheme="minorHAnsi"/>
          <w:i w:val="0"/>
          <w:color w:val="auto"/>
          <w:szCs w:val="24"/>
        </w:rPr>
        <w:t xml:space="preserve"> (such as training employers of record and reviewing timesheets)</w:t>
      </w:r>
      <w:r w:rsidR="00880E1C" w:rsidRPr="001F5812">
        <w:rPr>
          <w:rFonts w:asciiTheme="minorHAnsi" w:hAnsiTheme="minorHAnsi" w:cstheme="minorHAnsi"/>
          <w:i w:val="0"/>
          <w:color w:val="auto"/>
          <w:szCs w:val="24"/>
        </w:rPr>
        <w:t xml:space="preserve"> to the other parties and eliminating the service facilitator position. </w:t>
      </w:r>
      <w:r w:rsidR="001976E3" w:rsidRPr="001F5812">
        <w:rPr>
          <w:rFonts w:asciiTheme="minorHAnsi" w:hAnsiTheme="minorHAnsi" w:cstheme="minorHAnsi"/>
          <w:i w:val="0"/>
          <w:color w:val="auto"/>
          <w:szCs w:val="24"/>
        </w:rPr>
        <w:t>The cost of this service should be analyzed in relation to the benefit achieved for the funding agency and the consumer.</w:t>
      </w:r>
    </w:p>
    <w:p w14:paraId="59D92CF4" w14:textId="406AD04F" w:rsidR="00B73D8E" w:rsidRPr="001F5812" w:rsidRDefault="00B73D8E" w:rsidP="003F51B1">
      <w:pPr>
        <w:pStyle w:val="ListParagraph"/>
        <w:numPr>
          <w:ilvl w:val="0"/>
          <w:numId w:val="28"/>
        </w:numPr>
        <w:spacing w:line="240" w:lineRule="auto"/>
        <w:outlineLvl w:val="2"/>
        <w:rPr>
          <w:rFonts w:asciiTheme="minorHAnsi" w:hAnsiTheme="minorHAnsi" w:cstheme="minorHAnsi"/>
          <w:b/>
          <w:i w:val="0"/>
          <w:color w:val="auto"/>
          <w:szCs w:val="24"/>
        </w:rPr>
      </w:pPr>
      <w:r w:rsidRPr="001F5812">
        <w:rPr>
          <w:rFonts w:asciiTheme="minorHAnsi" w:hAnsiTheme="minorHAnsi" w:cstheme="minorHAnsi"/>
          <w:b/>
          <w:i w:val="0"/>
          <w:color w:val="auto"/>
          <w:szCs w:val="24"/>
        </w:rPr>
        <w:t>The Board recommends including dental services as a waiver service.</w:t>
      </w:r>
    </w:p>
    <w:p w14:paraId="6FDDFF35" w14:textId="70246669" w:rsidR="00B73D8E" w:rsidRPr="001F5812" w:rsidRDefault="00B73D8E" w:rsidP="00B56862">
      <w:pPr>
        <w:spacing w:line="240" w:lineRule="auto"/>
        <w:ind w:left="360"/>
        <w:rPr>
          <w:rFonts w:asciiTheme="minorHAnsi" w:hAnsiTheme="minorHAnsi" w:cstheme="minorHAnsi"/>
          <w:i w:val="0"/>
          <w:color w:val="auto"/>
          <w:szCs w:val="24"/>
        </w:rPr>
      </w:pPr>
      <w:r w:rsidRPr="001F5812">
        <w:rPr>
          <w:rFonts w:asciiTheme="minorHAnsi" w:hAnsiTheme="minorHAnsi" w:cstheme="minorHAnsi"/>
          <w:i w:val="0"/>
          <w:color w:val="auto"/>
          <w:szCs w:val="24"/>
        </w:rPr>
        <w:t xml:space="preserve">Many people with disabilities are in significant need of dental care and are unable to </w:t>
      </w:r>
      <w:r w:rsidR="00347EF8" w:rsidRPr="001F5812">
        <w:rPr>
          <w:rFonts w:asciiTheme="minorHAnsi" w:hAnsiTheme="minorHAnsi" w:cstheme="minorHAnsi"/>
          <w:i w:val="0"/>
          <w:color w:val="auto"/>
          <w:szCs w:val="24"/>
        </w:rPr>
        <w:t xml:space="preserve">afford this care independently. </w:t>
      </w:r>
      <w:r w:rsidRPr="001F5812">
        <w:rPr>
          <w:rFonts w:asciiTheme="minorHAnsi" w:hAnsiTheme="minorHAnsi" w:cstheme="minorHAnsi"/>
          <w:i w:val="0"/>
          <w:color w:val="auto"/>
          <w:szCs w:val="24"/>
        </w:rPr>
        <w:t xml:space="preserve">The failure to cover this service through Medicaid can result in long delays in obtaining much needed care until what could have been addressed through routine dental care has progressed to the point of a medical emergency. In addition, there is significant research relating the lack of dental health to a wide range of medical conditions that could result in more costly expenditures for the Commonwealth. </w:t>
      </w:r>
      <w:r w:rsidR="001976E3" w:rsidRPr="001F5812">
        <w:rPr>
          <w:rFonts w:asciiTheme="minorHAnsi" w:hAnsiTheme="minorHAnsi" w:cstheme="minorHAnsi"/>
          <w:i w:val="0"/>
          <w:color w:val="auto"/>
          <w:szCs w:val="24"/>
        </w:rPr>
        <w:t>Although some level of preventive dental services is now available from the managed care organization (MCO) health plans, those services are variable by MCO and significantly limited.</w:t>
      </w:r>
      <w:r w:rsidR="00DF551D" w:rsidRPr="001F5812">
        <w:rPr>
          <w:rFonts w:asciiTheme="minorHAnsi" w:hAnsiTheme="minorHAnsi" w:cstheme="minorHAnsi"/>
          <w:i w:val="0"/>
          <w:color w:val="auto"/>
          <w:szCs w:val="24"/>
        </w:rPr>
        <w:t xml:space="preserve"> </w:t>
      </w:r>
      <w:r w:rsidR="00AC47A8" w:rsidRPr="001F5812">
        <w:rPr>
          <w:rFonts w:asciiTheme="minorHAnsi" w:hAnsiTheme="minorHAnsi" w:cstheme="minorHAnsi"/>
          <w:i w:val="0"/>
          <w:color w:val="auto"/>
          <w:szCs w:val="24"/>
        </w:rPr>
        <w:t xml:space="preserve">While it is too early to know the impact of managed care on access to dental </w:t>
      </w:r>
      <w:r w:rsidR="007B1559" w:rsidRPr="001F5812">
        <w:rPr>
          <w:rFonts w:asciiTheme="minorHAnsi" w:hAnsiTheme="minorHAnsi" w:cstheme="minorHAnsi"/>
          <w:i w:val="0"/>
          <w:color w:val="auto"/>
          <w:szCs w:val="24"/>
        </w:rPr>
        <w:t>care</w:t>
      </w:r>
      <w:r w:rsidR="00AC47A8" w:rsidRPr="001F5812">
        <w:rPr>
          <w:rFonts w:asciiTheme="minorHAnsi" w:hAnsiTheme="minorHAnsi" w:cstheme="minorHAnsi"/>
          <w:i w:val="0"/>
          <w:color w:val="auto"/>
          <w:szCs w:val="24"/>
        </w:rPr>
        <w:t>, t</w:t>
      </w:r>
      <w:r w:rsidR="00751023" w:rsidRPr="001F5812">
        <w:rPr>
          <w:rFonts w:asciiTheme="minorHAnsi" w:hAnsiTheme="minorHAnsi" w:cstheme="minorHAnsi"/>
          <w:i w:val="0"/>
          <w:color w:val="auto"/>
          <w:szCs w:val="24"/>
        </w:rPr>
        <w:t>here have been anecdotal reports of members</w:t>
      </w:r>
      <w:r w:rsidR="00980143" w:rsidRPr="001F5812">
        <w:rPr>
          <w:rFonts w:asciiTheme="minorHAnsi" w:hAnsiTheme="minorHAnsi" w:cstheme="minorHAnsi"/>
          <w:i w:val="0"/>
          <w:color w:val="auto"/>
          <w:szCs w:val="24"/>
        </w:rPr>
        <w:t xml:space="preserve"> in CCC Plus</w:t>
      </w:r>
      <w:r w:rsidR="00751023" w:rsidRPr="001F5812">
        <w:rPr>
          <w:rFonts w:asciiTheme="minorHAnsi" w:hAnsiTheme="minorHAnsi" w:cstheme="minorHAnsi"/>
          <w:i w:val="0"/>
          <w:color w:val="auto"/>
          <w:szCs w:val="24"/>
        </w:rPr>
        <w:t xml:space="preserve"> still being unable to access </w:t>
      </w:r>
      <w:r w:rsidR="002C0FE1" w:rsidRPr="001F5812">
        <w:rPr>
          <w:rFonts w:asciiTheme="minorHAnsi" w:hAnsiTheme="minorHAnsi" w:cstheme="minorHAnsi"/>
          <w:i w:val="0"/>
          <w:color w:val="auto"/>
          <w:szCs w:val="24"/>
        </w:rPr>
        <w:t xml:space="preserve">basic </w:t>
      </w:r>
      <w:r w:rsidR="00751023" w:rsidRPr="001F5812">
        <w:rPr>
          <w:rFonts w:asciiTheme="minorHAnsi" w:hAnsiTheme="minorHAnsi" w:cstheme="minorHAnsi"/>
          <w:i w:val="0"/>
          <w:color w:val="auto"/>
          <w:szCs w:val="24"/>
        </w:rPr>
        <w:t>dent</w:t>
      </w:r>
      <w:r w:rsidR="002C0FE1" w:rsidRPr="001F5812">
        <w:rPr>
          <w:rFonts w:asciiTheme="minorHAnsi" w:hAnsiTheme="minorHAnsi" w:cstheme="minorHAnsi"/>
          <w:i w:val="0"/>
          <w:color w:val="auto"/>
          <w:szCs w:val="24"/>
        </w:rPr>
        <w:t>al services</w:t>
      </w:r>
      <w:r w:rsidR="00751023" w:rsidRPr="001F5812">
        <w:rPr>
          <w:rFonts w:asciiTheme="minorHAnsi" w:hAnsiTheme="minorHAnsi" w:cstheme="minorHAnsi"/>
          <w:i w:val="0"/>
          <w:color w:val="auto"/>
          <w:szCs w:val="24"/>
        </w:rPr>
        <w:t xml:space="preserve"> in their area despite having dental coverage through their MCO. </w:t>
      </w:r>
      <w:r w:rsidRPr="001F5812">
        <w:rPr>
          <w:rFonts w:asciiTheme="minorHAnsi" w:hAnsiTheme="minorHAnsi" w:cstheme="minorHAnsi"/>
          <w:i w:val="0"/>
          <w:color w:val="auto"/>
          <w:szCs w:val="24"/>
        </w:rPr>
        <w:t>The Board strongly recommends the inclusion of dental services</w:t>
      </w:r>
      <w:r w:rsidR="001976E3" w:rsidRPr="001F5812">
        <w:rPr>
          <w:rFonts w:asciiTheme="minorHAnsi" w:hAnsiTheme="minorHAnsi" w:cstheme="minorHAnsi"/>
          <w:i w:val="0"/>
          <w:color w:val="auto"/>
          <w:szCs w:val="24"/>
        </w:rPr>
        <w:t xml:space="preserve"> in the Community Living waiver or in the alternative, requiring an enhanced level of dental services in the MCO contracts.</w:t>
      </w:r>
    </w:p>
    <w:p w14:paraId="4852AE10" w14:textId="606A158D" w:rsidR="00B73D8E" w:rsidRPr="001F5812" w:rsidRDefault="00B73D8E" w:rsidP="003F51B1">
      <w:pPr>
        <w:pStyle w:val="ListParagraph"/>
        <w:numPr>
          <w:ilvl w:val="0"/>
          <w:numId w:val="28"/>
        </w:numPr>
        <w:spacing w:line="240" w:lineRule="auto"/>
        <w:outlineLvl w:val="2"/>
        <w:rPr>
          <w:rFonts w:asciiTheme="minorHAnsi" w:hAnsiTheme="minorHAnsi" w:cstheme="minorHAnsi"/>
          <w:b/>
          <w:i w:val="0"/>
          <w:color w:val="auto"/>
          <w:szCs w:val="24"/>
        </w:rPr>
      </w:pPr>
      <w:r w:rsidRPr="001F5812">
        <w:rPr>
          <w:rFonts w:asciiTheme="minorHAnsi" w:hAnsiTheme="minorHAnsi" w:cstheme="minorHAnsi"/>
          <w:b/>
          <w:i w:val="0"/>
          <w:color w:val="auto"/>
          <w:szCs w:val="24"/>
        </w:rPr>
        <w:lastRenderedPageBreak/>
        <w:t>The Board recommends including Individual</w:t>
      </w:r>
      <w:r w:rsidR="00576529" w:rsidRPr="001F5812">
        <w:rPr>
          <w:rFonts w:asciiTheme="minorHAnsi" w:hAnsiTheme="minorHAnsi" w:cstheme="minorHAnsi"/>
          <w:b/>
          <w:i w:val="0"/>
          <w:color w:val="auto"/>
          <w:szCs w:val="24"/>
        </w:rPr>
        <w:t xml:space="preserve"> and Family/</w:t>
      </w:r>
      <w:r w:rsidRPr="001F5812">
        <w:rPr>
          <w:rFonts w:asciiTheme="minorHAnsi" w:hAnsiTheme="minorHAnsi" w:cstheme="minorHAnsi"/>
          <w:b/>
          <w:i w:val="0"/>
          <w:color w:val="auto"/>
          <w:szCs w:val="24"/>
        </w:rPr>
        <w:t xml:space="preserve">Caregiver Training in </w:t>
      </w:r>
      <w:r w:rsidR="001976E3" w:rsidRPr="001F5812">
        <w:rPr>
          <w:rFonts w:asciiTheme="minorHAnsi" w:hAnsiTheme="minorHAnsi" w:cstheme="minorHAnsi"/>
          <w:b/>
          <w:i w:val="0"/>
          <w:color w:val="auto"/>
          <w:szCs w:val="24"/>
        </w:rPr>
        <w:t>the Community Living waiver</w:t>
      </w:r>
      <w:r w:rsidRPr="001F5812">
        <w:rPr>
          <w:rFonts w:asciiTheme="minorHAnsi" w:hAnsiTheme="minorHAnsi" w:cstheme="minorHAnsi"/>
          <w:b/>
          <w:i w:val="0"/>
          <w:color w:val="auto"/>
          <w:szCs w:val="24"/>
        </w:rPr>
        <w:t>.</w:t>
      </w:r>
    </w:p>
    <w:p w14:paraId="1769BA7E" w14:textId="32F33249" w:rsidR="001976E3" w:rsidRPr="001F5812" w:rsidRDefault="00B73D8E" w:rsidP="00B56862">
      <w:pPr>
        <w:spacing w:line="240" w:lineRule="auto"/>
        <w:ind w:left="360"/>
        <w:rPr>
          <w:rFonts w:asciiTheme="minorHAnsi" w:hAnsiTheme="minorHAnsi" w:cstheme="minorHAnsi"/>
          <w:i w:val="0"/>
          <w:color w:val="auto"/>
          <w:szCs w:val="24"/>
        </w:rPr>
      </w:pPr>
      <w:r w:rsidRPr="001F5812">
        <w:rPr>
          <w:rFonts w:asciiTheme="minorHAnsi" w:hAnsiTheme="minorHAnsi" w:cstheme="minorHAnsi"/>
          <w:i w:val="0"/>
          <w:color w:val="auto"/>
          <w:szCs w:val="24"/>
        </w:rPr>
        <w:t>The Family and Individual Support</w:t>
      </w:r>
      <w:r w:rsidR="00A03C3D" w:rsidRPr="001F5812">
        <w:rPr>
          <w:rFonts w:asciiTheme="minorHAnsi" w:hAnsiTheme="minorHAnsi" w:cstheme="minorHAnsi"/>
          <w:i w:val="0"/>
          <w:color w:val="auto"/>
          <w:szCs w:val="24"/>
        </w:rPr>
        <w:t>s</w:t>
      </w:r>
      <w:r w:rsidRPr="001F5812">
        <w:rPr>
          <w:rFonts w:asciiTheme="minorHAnsi" w:hAnsiTheme="minorHAnsi" w:cstheme="minorHAnsi"/>
          <w:i w:val="0"/>
          <w:color w:val="auto"/>
          <w:szCs w:val="24"/>
        </w:rPr>
        <w:t xml:space="preserve"> waiver includes a service called Individual </w:t>
      </w:r>
      <w:r w:rsidR="00576529" w:rsidRPr="001F5812">
        <w:rPr>
          <w:rFonts w:asciiTheme="minorHAnsi" w:hAnsiTheme="minorHAnsi" w:cstheme="minorHAnsi"/>
          <w:i w:val="0"/>
          <w:color w:val="auto"/>
          <w:szCs w:val="24"/>
        </w:rPr>
        <w:t>and Family</w:t>
      </w:r>
      <w:r w:rsidR="00A03C3D" w:rsidRPr="001F5812">
        <w:rPr>
          <w:rFonts w:asciiTheme="minorHAnsi" w:hAnsiTheme="minorHAnsi" w:cstheme="minorHAnsi"/>
          <w:i w:val="0"/>
          <w:color w:val="auto"/>
          <w:szCs w:val="24"/>
        </w:rPr>
        <w:t>/</w:t>
      </w:r>
      <w:r w:rsidRPr="001F5812">
        <w:rPr>
          <w:rFonts w:asciiTheme="minorHAnsi" w:hAnsiTheme="minorHAnsi" w:cstheme="minorHAnsi"/>
          <w:i w:val="0"/>
          <w:color w:val="auto"/>
          <w:szCs w:val="24"/>
        </w:rPr>
        <w:t xml:space="preserve">Caregiver Training. This service includes not only training for family members who care for individuals with disabilities, but also “educational opportunities designed to enable the individual to gain a better understanding of his/her disability or increase his/her self-determination/self-advocacy abilities.” The Board believes that all people who receive waiver services should have opportunities to improve their independence through better understanding their disability and increasing their self-determination and self-advocacy skills. </w:t>
      </w:r>
      <w:r w:rsidR="001E7DF3" w:rsidRPr="001F5812">
        <w:rPr>
          <w:rFonts w:asciiTheme="minorHAnsi" w:hAnsiTheme="minorHAnsi" w:cstheme="minorHAnsi"/>
          <w:i w:val="0"/>
          <w:color w:val="auto"/>
          <w:szCs w:val="24"/>
        </w:rPr>
        <w:t xml:space="preserve">Furthermore, the training for family members or caregivers may be relevant for </w:t>
      </w:r>
      <w:r w:rsidR="00A15F7C" w:rsidRPr="001F5812">
        <w:rPr>
          <w:rFonts w:asciiTheme="minorHAnsi" w:hAnsiTheme="minorHAnsi" w:cstheme="minorHAnsi"/>
          <w:i w:val="0"/>
          <w:color w:val="auto"/>
          <w:szCs w:val="24"/>
        </w:rPr>
        <w:t xml:space="preserve">some </w:t>
      </w:r>
      <w:r w:rsidR="001E7DF3" w:rsidRPr="001F5812">
        <w:rPr>
          <w:rFonts w:asciiTheme="minorHAnsi" w:hAnsiTheme="minorHAnsi" w:cstheme="minorHAnsi"/>
          <w:i w:val="0"/>
          <w:color w:val="auto"/>
          <w:szCs w:val="24"/>
        </w:rPr>
        <w:t>individuals enrolled in the Community Living waiver</w:t>
      </w:r>
      <w:r w:rsidR="00A15F7C" w:rsidRPr="001F5812">
        <w:rPr>
          <w:rFonts w:asciiTheme="minorHAnsi" w:hAnsiTheme="minorHAnsi" w:cstheme="minorHAnsi"/>
          <w:i w:val="0"/>
          <w:color w:val="auto"/>
          <w:szCs w:val="24"/>
        </w:rPr>
        <w:t>, including those who live with family</w:t>
      </w:r>
      <w:r w:rsidR="001E7DF3" w:rsidRPr="001F5812">
        <w:rPr>
          <w:rFonts w:asciiTheme="minorHAnsi" w:hAnsiTheme="minorHAnsi" w:cstheme="minorHAnsi"/>
          <w:i w:val="0"/>
          <w:color w:val="auto"/>
          <w:szCs w:val="24"/>
        </w:rPr>
        <w:t xml:space="preserve">. </w:t>
      </w:r>
      <w:r w:rsidRPr="001F5812">
        <w:rPr>
          <w:rFonts w:asciiTheme="minorHAnsi" w:hAnsiTheme="minorHAnsi" w:cstheme="minorHAnsi"/>
          <w:i w:val="0"/>
          <w:color w:val="auto"/>
          <w:szCs w:val="24"/>
        </w:rPr>
        <w:t xml:space="preserve">The Board, therefore, encourages the Commonwealth to </w:t>
      </w:r>
      <w:r w:rsidR="001976E3" w:rsidRPr="001F5812">
        <w:rPr>
          <w:rFonts w:asciiTheme="minorHAnsi" w:hAnsiTheme="minorHAnsi" w:cstheme="minorHAnsi"/>
          <w:i w:val="0"/>
          <w:color w:val="auto"/>
          <w:szCs w:val="24"/>
        </w:rPr>
        <w:t>add this service to the Community Living waiver.</w:t>
      </w:r>
    </w:p>
    <w:p w14:paraId="4F5F2388" w14:textId="068CF0BA" w:rsidR="001976E3" w:rsidRPr="001F5812" w:rsidRDefault="001976E3" w:rsidP="003F51B1">
      <w:pPr>
        <w:pStyle w:val="ListParagraph"/>
        <w:numPr>
          <w:ilvl w:val="0"/>
          <w:numId w:val="28"/>
        </w:numPr>
        <w:spacing w:line="240" w:lineRule="auto"/>
        <w:outlineLvl w:val="2"/>
        <w:rPr>
          <w:rFonts w:asciiTheme="minorHAnsi" w:hAnsiTheme="minorHAnsi" w:cstheme="minorHAnsi"/>
          <w:b/>
          <w:i w:val="0"/>
          <w:color w:val="auto"/>
          <w:szCs w:val="24"/>
        </w:rPr>
      </w:pPr>
      <w:r w:rsidRPr="001F5812">
        <w:rPr>
          <w:rFonts w:asciiTheme="minorHAnsi" w:hAnsiTheme="minorHAnsi" w:cstheme="minorHAnsi"/>
          <w:b/>
          <w:i w:val="0"/>
          <w:color w:val="auto"/>
          <w:szCs w:val="24"/>
        </w:rPr>
        <w:t>The Board encourages the Commonwealth to increase the $5,000 annual cap on environmental modifications</w:t>
      </w:r>
      <w:r w:rsidR="00F10129" w:rsidRPr="001F5812">
        <w:rPr>
          <w:rFonts w:asciiTheme="minorHAnsi" w:hAnsiTheme="minorHAnsi" w:cstheme="minorHAnsi"/>
          <w:b/>
          <w:i w:val="0"/>
          <w:color w:val="auto"/>
          <w:szCs w:val="24"/>
        </w:rPr>
        <w:t xml:space="preserve">, </w:t>
      </w:r>
      <w:r w:rsidRPr="001F5812">
        <w:rPr>
          <w:rFonts w:asciiTheme="minorHAnsi" w:hAnsiTheme="minorHAnsi" w:cstheme="minorHAnsi"/>
          <w:b/>
          <w:i w:val="0"/>
          <w:color w:val="auto"/>
          <w:szCs w:val="24"/>
        </w:rPr>
        <w:t>assistive technology</w:t>
      </w:r>
      <w:r w:rsidR="00F10129" w:rsidRPr="001F5812">
        <w:rPr>
          <w:rFonts w:asciiTheme="minorHAnsi" w:hAnsiTheme="minorHAnsi" w:cstheme="minorHAnsi"/>
          <w:b/>
          <w:i w:val="0"/>
          <w:color w:val="auto"/>
          <w:szCs w:val="24"/>
        </w:rPr>
        <w:t>, and electronic home based services.</w:t>
      </w:r>
    </w:p>
    <w:p w14:paraId="57734D29" w14:textId="583E10BE" w:rsidR="007C593B" w:rsidRPr="001F5812" w:rsidRDefault="001976E3" w:rsidP="00B56862">
      <w:pPr>
        <w:spacing w:line="240" w:lineRule="auto"/>
        <w:ind w:left="360"/>
        <w:rPr>
          <w:rFonts w:asciiTheme="minorHAnsi" w:hAnsiTheme="minorHAnsi" w:cstheme="minorHAnsi"/>
          <w:i w:val="0"/>
          <w:color w:val="auto"/>
          <w:szCs w:val="24"/>
        </w:rPr>
      </w:pPr>
      <w:r w:rsidRPr="001F5812">
        <w:rPr>
          <w:rFonts w:asciiTheme="minorHAnsi" w:hAnsiTheme="minorHAnsi" w:cstheme="minorHAnsi"/>
          <w:i w:val="0"/>
          <w:color w:val="auto"/>
          <w:szCs w:val="24"/>
        </w:rPr>
        <w:t>The caps on assistive technology and</w:t>
      </w:r>
      <w:r w:rsidR="00347EF8" w:rsidRPr="001F5812">
        <w:rPr>
          <w:rFonts w:asciiTheme="minorHAnsi" w:hAnsiTheme="minorHAnsi" w:cstheme="minorHAnsi"/>
          <w:i w:val="0"/>
          <w:color w:val="auto"/>
          <w:szCs w:val="24"/>
        </w:rPr>
        <w:t xml:space="preserve"> on </w:t>
      </w:r>
      <w:r w:rsidRPr="001F5812">
        <w:rPr>
          <w:rFonts w:asciiTheme="minorHAnsi" w:hAnsiTheme="minorHAnsi" w:cstheme="minorHAnsi"/>
          <w:i w:val="0"/>
          <w:color w:val="auto"/>
          <w:szCs w:val="24"/>
        </w:rPr>
        <w:t>environmental modifications expenditures has remained $5,000 for many year, despite extensive improvements in available technology that can be used to facilitate greater independence for individuals with significant disabilities.</w:t>
      </w:r>
      <w:r w:rsidR="00DF551D" w:rsidRPr="001F5812">
        <w:rPr>
          <w:rFonts w:asciiTheme="minorHAnsi" w:hAnsiTheme="minorHAnsi" w:cstheme="minorHAnsi"/>
          <w:i w:val="0"/>
          <w:color w:val="auto"/>
          <w:szCs w:val="24"/>
        </w:rPr>
        <w:t xml:space="preserve"> </w:t>
      </w:r>
      <w:r w:rsidR="00F10129" w:rsidRPr="001F5812">
        <w:rPr>
          <w:rFonts w:asciiTheme="minorHAnsi" w:hAnsiTheme="minorHAnsi" w:cstheme="minorHAnsi"/>
          <w:i w:val="0"/>
          <w:color w:val="auto"/>
          <w:szCs w:val="24"/>
        </w:rPr>
        <w:t>The Board is pleased that electronic home based services is also included as a waiver service.</w:t>
      </w:r>
      <w:r w:rsidR="00DF551D" w:rsidRPr="001F5812">
        <w:rPr>
          <w:rFonts w:asciiTheme="minorHAnsi" w:hAnsiTheme="minorHAnsi" w:cstheme="minorHAnsi"/>
          <w:i w:val="0"/>
          <w:color w:val="auto"/>
          <w:szCs w:val="24"/>
        </w:rPr>
        <w:t xml:space="preserve"> </w:t>
      </w:r>
      <w:r w:rsidR="00F10129" w:rsidRPr="001F5812">
        <w:rPr>
          <w:rFonts w:asciiTheme="minorHAnsi" w:hAnsiTheme="minorHAnsi" w:cstheme="minorHAnsi"/>
          <w:i w:val="0"/>
          <w:color w:val="auto"/>
          <w:szCs w:val="24"/>
        </w:rPr>
        <w:t>The Board believes that the caps on all three of these services are unrealistically low.</w:t>
      </w:r>
      <w:r w:rsidR="00DF551D" w:rsidRPr="001F5812">
        <w:rPr>
          <w:rFonts w:asciiTheme="minorHAnsi" w:hAnsiTheme="minorHAnsi" w:cstheme="minorHAnsi"/>
          <w:i w:val="0"/>
          <w:color w:val="auto"/>
          <w:szCs w:val="24"/>
        </w:rPr>
        <w:t xml:space="preserve"> </w:t>
      </w:r>
      <w:r w:rsidRPr="001F5812">
        <w:rPr>
          <w:rFonts w:asciiTheme="minorHAnsi" w:hAnsiTheme="minorHAnsi" w:cstheme="minorHAnsi"/>
          <w:i w:val="0"/>
          <w:color w:val="auto"/>
          <w:szCs w:val="24"/>
        </w:rPr>
        <w:t>The Board believes that th</w:t>
      </w:r>
      <w:r w:rsidR="00F10129" w:rsidRPr="001F5812">
        <w:rPr>
          <w:rFonts w:asciiTheme="minorHAnsi" w:hAnsiTheme="minorHAnsi" w:cstheme="minorHAnsi"/>
          <w:i w:val="0"/>
          <w:color w:val="auto"/>
          <w:szCs w:val="24"/>
        </w:rPr>
        <w:t>ese</w:t>
      </w:r>
      <w:r w:rsidRPr="001F5812">
        <w:rPr>
          <w:rFonts w:asciiTheme="minorHAnsi" w:hAnsiTheme="minorHAnsi" w:cstheme="minorHAnsi"/>
          <w:i w:val="0"/>
          <w:color w:val="auto"/>
          <w:szCs w:val="24"/>
        </w:rPr>
        <w:t xml:space="preserve"> amount should be increased to at least $7500 annually. </w:t>
      </w:r>
    </w:p>
    <w:p w14:paraId="13682A8D" w14:textId="24F8B4B1" w:rsidR="001976E3" w:rsidRPr="001F5812" w:rsidRDefault="001976E3" w:rsidP="00B56862">
      <w:pPr>
        <w:spacing w:line="240" w:lineRule="auto"/>
        <w:ind w:left="360"/>
        <w:rPr>
          <w:rFonts w:asciiTheme="minorHAnsi" w:hAnsiTheme="minorHAnsi" w:cstheme="minorHAnsi"/>
          <w:i w:val="0"/>
          <w:color w:val="auto"/>
          <w:szCs w:val="24"/>
        </w:rPr>
      </w:pPr>
      <w:r w:rsidRPr="001F5812">
        <w:rPr>
          <w:rFonts w:asciiTheme="minorHAnsi" w:hAnsiTheme="minorHAnsi" w:cstheme="minorHAnsi"/>
          <w:i w:val="0"/>
          <w:color w:val="auto"/>
          <w:szCs w:val="24"/>
        </w:rPr>
        <w:t xml:space="preserve">Absent an increase in the $5,000 cap, which the Board recognizes requires General Assembly approval, the Board recommends that a process for approving amounts greater than $5,000 in cases where there is a substantial need for the requested environmental </w:t>
      </w:r>
      <w:r w:rsidR="00F10129" w:rsidRPr="001F5812">
        <w:rPr>
          <w:rFonts w:asciiTheme="minorHAnsi" w:hAnsiTheme="minorHAnsi" w:cstheme="minorHAnsi"/>
          <w:i w:val="0"/>
          <w:color w:val="auto"/>
          <w:szCs w:val="24"/>
        </w:rPr>
        <w:t xml:space="preserve">modification, electronic home based service, or assistive </w:t>
      </w:r>
      <w:r w:rsidRPr="001F5812">
        <w:rPr>
          <w:rFonts w:asciiTheme="minorHAnsi" w:hAnsiTheme="minorHAnsi" w:cstheme="minorHAnsi"/>
          <w:i w:val="0"/>
          <w:color w:val="auto"/>
          <w:szCs w:val="24"/>
        </w:rPr>
        <w:t>technology in order to maintain community residence status or in order to move to a less restrictive environment.</w:t>
      </w:r>
      <w:r w:rsidR="00347EF8" w:rsidRPr="001F5812">
        <w:rPr>
          <w:rFonts w:asciiTheme="minorHAnsi" w:hAnsiTheme="minorHAnsi" w:cstheme="minorHAnsi"/>
          <w:i w:val="0"/>
          <w:color w:val="auto"/>
          <w:szCs w:val="24"/>
        </w:rPr>
        <w:t xml:space="preserve"> </w:t>
      </w:r>
      <w:r w:rsidR="00F10129" w:rsidRPr="001F5812">
        <w:rPr>
          <w:rFonts w:asciiTheme="minorHAnsi" w:hAnsiTheme="minorHAnsi" w:cstheme="minorHAnsi"/>
          <w:i w:val="0"/>
          <w:color w:val="auto"/>
          <w:szCs w:val="24"/>
        </w:rPr>
        <w:t>Another alternative would be to allow carryover of unutilized funds for one year in order for the individual to access needed, more expensive goods or services necessary for health, safety, and/or quality of life.</w:t>
      </w:r>
      <w:r w:rsidR="00DF551D" w:rsidRPr="001F5812">
        <w:rPr>
          <w:rFonts w:asciiTheme="minorHAnsi" w:hAnsiTheme="minorHAnsi" w:cstheme="minorHAnsi"/>
          <w:i w:val="0"/>
          <w:color w:val="auto"/>
          <w:szCs w:val="24"/>
        </w:rPr>
        <w:t xml:space="preserve"> </w:t>
      </w:r>
      <w:r w:rsidR="00F10129" w:rsidRPr="001F5812">
        <w:rPr>
          <w:rFonts w:asciiTheme="minorHAnsi" w:hAnsiTheme="minorHAnsi" w:cstheme="minorHAnsi"/>
          <w:i w:val="0"/>
          <w:color w:val="auto"/>
          <w:szCs w:val="24"/>
        </w:rPr>
        <w:t>The Commonwealth is to be commended for recognizing the value of t</w:t>
      </w:r>
      <w:r w:rsidRPr="001F5812">
        <w:rPr>
          <w:rFonts w:asciiTheme="minorHAnsi" w:hAnsiTheme="minorHAnsi" w:cstheme="minorHAnsi"/>
          <w:i w:val="0"/>
          <w:color w:val="auto"/>
          <w:szCs w:val="24"/>
        </w:rPr>
        <w:t xml:space="preserve">echnology </w:t>
      </w:r>
      <w:r w:rsidR="00F10129" w:rsidRPr="001F5812">
        <w:rPr>
          <w:rFonts w:asciiTheme="minorHAnsi" w:hAnsiTheme="minorHAnsi" w:cstheme="minorHAnsi"/>
          <w:i w:val="0"/>
          <w:color w:val="auto"/>
          <w:szCs w:val="24"/>
        </w:rPr>
        <w:t xml:space="preserve">but financial </w:t>
      </w:r>
      <w:r w:rsidRPr="001F5812">
        <w:rPr>
          <w:rFonts w:asciiTheme="minorHAnsi" w:hAnsiTheme="minorHAnsi" w:cstheme="minorHAnsi"/>
          <w:i w:val="0"/>
          <w:color w:val="auto"/>
          <w:szCs w:val="24"/>
        </w:rPr>
        <w:t>caps should be consistent with the cost of implementing services like Smart Home technology, including monthly monitoring contracts.</w:t>
      </w:r>
    </w:p>
    <w:p w14:paraId="7E9B2314" w14:textId="3E31502C" w:rsidR="00DD29C8" w:rsidRPr="001F5812" w:rsidRDefault="00DD29C8" w:rsidP="003F51B1">
      <w:pPr>
        <w:pStyle w:val="ListParagraph"/>
        <w:numPr>
          <w:ilvl w:val="0"/>
          <w:numId w:val="28"/>
        </w:numPr>
        <w:spacing w:line="240" w:lineRule="auto"/>
        <w:outlineLvl w:val="2"/>
        <w:rPr>
          <w:rFonts w:asciiTheme="minorHAnsi" w:hAnsiTheme="minorHAnsi" w:cstheme="minorHAnsi"/>
          <w:b/>
          <w:i w:val="0"/>
          <w:color w:val="auto"/>
          <w:szCs w:val="24"/>
        </w:rPr>
      </w:pPr>
      <w:r w:rsidRPr="001F5812">
        <w:rPr>
          <w:rFonts w:asciiTheme="minorHAnsi" w:hAnsiTheme="minorHAnsi" w:cstheme="minorHAnsi"/>
          <w:b/>
          <w:i w:val="0"/>
          <w:color w:val="auto"/>
          <w:szCs w:val="24"/>
        </w:rPr>
        <w:t>The Board recommends a more expansive look at the driving records of those authorized for employment and community transportation.</w:t>
      </w:r>
    </w:p>
    <w:p w14:paraId="04DD80B4" w14:textId="6119E5D2" w:rsidR="00DD29C8" w:rsidRPr="001F5812" w:rsidRDefault="00DD29C8" w:rsidP="00B56862">
      <w:pPr>
        <w:spacing w:line="240" w:lineRule="auto"/>
        <w:ind w:left="360"/>
        <w:rPr>
          <w:rFonts w:asciiTheme="minorHAnsi" w:hAnsiTheme="minorHAnsi"/>
          <w:i w:val="0"/>
          <w:color w:val="auto"/>
        </w:rPr>
      </w:pPr>
      <w:r w:rsidRPr="001F5812">
        <w:rPr>
          <w:rFonts w:asciiTheme="minorHAnsi" w:hAnsiTheme="minorHAnsi" w:cstheme="minorHAnsi"/>
          <w:i w:val="0"/>
          <w:color w:val="auto"/>
          <w:szCs w:val="24"/>
        </w:rPr>
        <w:t>This service notes that the driver must “</w:t>
      </w:r>
      <w:r w:rsidR="00AE3ED5" w:rsidRPr="001F5812">
        <w:rPr>
          <w:rFonts w:asciiTheme="minorHAnsi" w:hAnsiTheme="minorHAnsi" w:cstheme="minorHAnsi"/>
          <w:i w:val="0"/>
          <w:color w:val="auto"/>
          <w:szCs w:val="24"/>
        </w:rPr>
        <w:t xml:space="preserve">2. </w:t>
      </w:r>
      <w:r w:rsidRPr="001F5812">
        <w:rPr>
          <w:rFonts w:asciiTheme="minorHAnsi" w:hAnsiTheme="minorHAnsi"/>
          <w:i w:val="0"/>
          <w:color w:val="auto"/>
        </w:rPr>
        <w:t>Possess a valid driver’s license; 3. Possess and maintain at a minimum (1) proof of general liability insurance coverage in compliance with federal and/or state statutory requirements and (2) a satisfactory driving record defined as no reckless driving charges within the past 24 months</w:t>
      </w:r>
      <w:r w:rsidRPr="001F5812">
        <w:rPr>
          <w:rFonts w:asciiTheme="minorHAnsi" w:hAnsiTheme="minorHAnsi"/>
          <w:color w:val="auto"/>
        </w:rPr>
        <w:t>.”</w:t>
      </w:r>
      <w:r w:rsidR="00DF551D" w:rsidRPr="001F5812">
        <w:rPr>
          <w:rFonts w:asciiTheme="minorHAnsi" w:hAnsiTheme="minorHAnsi"/>
          <w:color w:val="auto"/>
        </w:rPr>
        <w:t xml:space="preserve"> </w:t>
      </w:r>
      <w:r w:rsidRPr="001F5812">
        <w:rPr>
          <w:rFonts w:asciiTheme="minorHAnsi" w:hAnsiTheme="minorHAnsi"/>
          <w:i w:val="0"/>
          <w:color w:val="auto"/>
        </w:rPr>
        <w:t>While the driver may be devoid of a reckless driving charge, the driver could have multiple other offenses, such as speeding, careless driving, accidents caused by failure to yield, etc.</w:t>
      </w:r>
      <w:r w:rsidR="00DF551D" w:rsidRPr="001F5812">
        <w:rPr>
          <w:rFonts w:asciiTheme="minorHAnsi" w:hAnsiTheme="minorHAnsi"/>
          <w:i w:val="0"/>
          <w:color w:val="auto"/>
        </w:rPr>
        <w:t xml:space="preserve"> </w:t>
      </w:r>
      <w:r w:rsidRPr="001F5812">
        <w:rPr>
          <w:rFonts w:asciiTheme="minorHAnsi" w:hAnsiTheme="minorHAnsi"/>
          <w:i w:val="0"/>
          <w:color w:val="auto"/>
        </w:rPr>
        <w:t xml:space="preserve">The Board recommends that the </w:t>
      </w:r>
      <w:r w:rsidRPr="001F5812">
        <w:rPr>
          <w:rFonts w:asciiTheme="minorHAnsi" w:hAnsiTheme="minorHAnsi"/>
          <w:i w:val="0"/>
          <w:color w:val="auto"/>
        </w:rPr>
        <w:lastRenderedPageBreak/>
        <w:t>Commonwealth examine the number of points on a person’s driver’s license and determine an appropriate cap beyond which that driver would not be approved to deliver this service.</w:t>
      </w:r>
      <w:r w:rsidR="00DF551D" w:rsidRPr="001F5812">
        <w:rPr>
          <w:rFonts w:asciiTheme="minorHAnsi" w:hAnsiTheme="minorHAnsi"/>
          <w:i w:val="0"/>
          <w:color w:val="auto"/>
        </w:rPr>
        <w:t xml:space="preserve"> </w:t>
      </w:r>
    </w:p>
    <w:p w14:paraId="489D8550" w14:textId="2F92996E" w:rsidR="004B3D94" w:rsidRPr="001F5812" w:rsidRDefault="004B3D94" w:rsidP="003F51B1">
      <w:pPr>
        <w:pStyle w:val="ListParagraph"/>
        <w:numPr>
          <w:ilvl w:val="0"/>
          <w:numId w:val="28"/>
        </w:numPr>
        <w:spacing w:line="240" w:lineRule="auto"/>
        <w:outlineLvl w:val="2"/>
        <w:rPr>
          <w:rFonts w:asciiTheme="minorHAnsi" w:hAnsiTheme="minorHAnsi" w:cstheme="minorHAnsi"/>
          <w:b/>
          <w:i w:val="0"/>
          <w:color w:val="auto"/>
          <w:szCs w:val="24"/>
        </w:rPr>
      </w:pPr>
      <w:r w:rsidRPr="001F5812">
        <w:rPr>
          <w:rFonts w:asciiTheme="minorHAnsi" w:hAnsiTheme="minorHAnsi" w:cstheme="minorHAnsi"/>
          <w:b/>
          <w:i w:val="0"/>
          <w:color w:val="auto"/>
          <w:szCs w:val="24"/>
        </w:rPr>
        <w:t xml:space="preserve">The Board recommends clarifying </w:t>
      </w:r>
      <w:r w:rsidR="002A0A83" w:rsidRPr="001F5812">
        <w:rPr>
          <w:rFonts w:asciiTheme="minorHAnsi" w:hAnsiTheme="minorHAnsi" w:cstheme="minorHAnsi"/>
          <w:b/>
          <w:i w:val="0"/>
          <w:color w:val="auto"/>
          <w:szCs w:val="24"/>
        </w:rPr>
        <w:t>what it means to have “lived independently in the community”</w:t>
      </w:r>
      <w:r w:rsidRPr="001F5812">
        <w:rPr>
          <w:rFonts w:asciiTheme="minorHAnsi" w:hAnsiTheme="minorHAnsi" w:cstheme="minorHAnsi"/>
          <w:b/>
          <w:i w:val="0"/>
          <w:color w:val="auto"/>
          <w:szCs w:val="24"/>
        </w:rPr>
        <w:t xml:space="preserve"> </w:t>
      </w:r>
      <w:r w:rsidR="002A0A83" w:rsidRPr="001F5812">
        <w:rPr>
          <w:rFonts w:asciiTheme="minorHAnsi" w:hAnsiTheme="minorHAnsi" w:cstheme="minorHAnsi"/>
          <w:b/>
          <w:i w:val="0"/>
          <w:color w:val="auto"/>
          <w:szCs w:val="24"/>
        </w:rPr>
        <w:t>as this phrase is used in the Waiver application to describe the individuals who may provide</w:t>
      </w:r>
      <w:r w:rsidRPr="001F5812">
        <w:rPr>
          <w:rFonts w:asciiTheme="minorHAnsi" w:hAnsiTheme="minorHAnsi" w:cstheme="minorHAnsi"/>
          <w:b/>
          <w:i w:val="0"/>
          <w:color w:val="auto"/>
          <w:szCs w:val="24"/>
        </w:rPr>
        <w:t xml:space="preserve"> peer </w:t>
      </w:r>
      <w:r w:rsidR="002A0A83" w:rsidRPr="001F5812">
        <w:rPr>
          <w:rFonts w:asciiTheme="minorHAnsi" w:hAnsiTheme="minorHAnsi" w:cstheme="minorHAnsi"/>
          <w:b/>
          <w:i w:val="0"/>
          <w:color w:val="auto"/>
          <w:szCs w:val="24"/>
        </w:rPr>
        <w:t>mentor supports</w:t>
      </w:r>
      <w:r w:rsidRPr="001F5812">
        <w:rPr>
          <w:rFonts w:asciiTheme="minorHAnsi" w:hAnsiTheme="minorHAnsi" w:cstheme="minorHAnsi"/>
          <w:b/>
          <w:i w:val="0"/>
          <w:color w:val="auto"/>
          <w:szCs w:val="24"/>
        </w:rPr>
        <w:t>.</w:t>
      </w:r>
    </w:p>
    <w:p w14:paraId="55774093" w14:textId="261A1A29" w:rsidR="004B3D94" w:rsidRPr="001F5812" w:rsidRDefault="004B3D94" w:rsidP="00B56862">
      <w:pPr>
        <w:spacing w:line="240" w:lineRule="auto"/>
        <w:ind w:left="360"/>
        <w:rPr>
          <w:rFonts w:asciiTheme="minorHAnsi" w:hAnsiTheme="minorHAnsi" w:cstheme="minorHAnsi"/>
          <w:i w:val="0"/>
          <w:color w:val="auto"/>
          <w:szCs w:val="24"/>
        </w:rPr>
      </w:pPr>
      <w:r w:rsidRPr="001F5812">
        <w:rPr>
          <w:rFonts w:asciiTheme="minorHAnsi" w:hAnsiTheme="minorHAnsi" w:cstheme="minorHAnsi"/>
          <w:i w:val="0"/>
          <w:color w:val="auto"/>
          <w:szCs w:val="24"/>
        </w:rPr>
        <w:t xml:space="preserve">The </w:t>
      </w:r>
      <w:r w:rsidR="002A0A83" w:rsidRPr="001F5812">
        <w:rPr>
          <w:rFonts w:asciiTheme="minorHAnsi" w:hAnsiTheme="minorHAnsi" w:cstheme="minorHAnsi"/>
          <w:i w:val="0"/>
          <w:color w:val="auto"/>
          <w:szCs w:val="24"/>
        </w:rPr>
        <w:t>application states</w:t>
      </w:r>
      <w:r w:rsidRPr="001F5812">
        <w:rPr>
          <w:rFonts w:asciiTheme="minorHAnsi" w:hAnsiTheme="minorHAnsi" w:cstheme="minorHAnsi"/>
          <w:i w:val="0"/>
          <w:color w:val="auto"/>
          <w:szCs w:val="24"/>
        </w:rPr>
        <w:t>:</w:t>
      </w:r>
      <w:r w:rsidR="00DF551D" w:rsidRPr="001F5812">
        <w:rPr>
          <w:rFonts w:asciiTheme="minorHAnsi" w:hAnsiTheme="minorHAnsi" w:cstheme="minorHAnsi"/>
          <w:i w:val="0"/>
          <w:color w:val="auto"/>
          <w:szCs w:val="24"/>
        </w:rPr>
        <w:t xml:space="preserve"> </w:t>
      </w:r>
      <w:r w:rsidRPr="001F5812">
        <w:rPr>
          <w:rFonts w:asciiTheme="minorHAnsi" w:hAnsiTheme="minorHAnsi" w:cstheme="minorHAnsi"/>
          <w:i w:val="0"/>
          <w:color w:val="auto"/>
          <w:szCs w:val="24"/>
        </w:rPr>
        <w:t>“</w:t>
      </w:r>
      <w:r w:rsidRPr="001F5812">
        <w:rPr>
          <w:rFonts w:asciiTheme="minorHAnsi" w:hAnsiTheme="minorHAnsi"/>
          <w:color w:val="auto"/>
        </w:rPr>
        <w:t>Peer Mentor Supports are provided by an individual with a developmental disability who has lived independently in the community for at least one year and is or has been a recipient of services, including but not limited to</w:t>
      </w:r>
      <w:r w:rsidR="007C7817" w:rsidRPr="001F5812">
        <w:rPr>
          <w:rFonts w:asciiTheme="minorHAnsi" w:hAnsiTheme="minorHAnsi"/>
          <w:color w:val="auto"/>
        </w:rPr>
        <w:t>,</w:t>
      </w:r>
      <w:r w:rsidRPr="001F5812">
        <w:rPr>
          <w:rFonts w:asciiTheme="minorHAnsi" w:hAnsiTheme="minorHAnsi"/>
          <w:color w:val="auto"/>
        </w:rPr>
        <w:t xml:space="preserve"> publicly-funded housing, Medicaid waiver services, work incentives, and supported employment</w:t>
      </w:r>
      <w:r w:rsidRPr="001F5812">
        <w:t>.”</w:t>
      </w:r>
      <w:r w:rsidR="00DF551D" w:rsidRPr="001F5812">
        <w:t xml:space="preserve"> </w:t>
      </w:r>
      <w:r w:rsidR="002A0A83" w:rsidRPr="001F5812">
        <w:rPr>
          <w:rFonts w:asciiTheme="minorHAnsi" w:hAnsiTheme="minorHAnsi" w:cstheme="minorHAnsi"/>
          <w:i w:val="0"/>
          <w:color w:val="auto"/>
          <w:szCs w:val="24"/>
        </w:rPr>
        <w:t>It</w:t>
      </w:r>
      <w:r w:rsidRPr="001F5812">
        <w:rPr>
          <w:rFonts w:asciiTheme="minorHAnsi" w:hAnsiTheme="minorHAnsi" w:cstheme="minorHAnsi"/>
          <w:i w:val="0"/>
          <w:color w:val="auto"/>
          <w:szCs w:val="24"/>
        </w:rPr>
        <w:t xml:space="preserve"> is unclear</w:t>
      </w:r>
      <w:r w:rsidR="002A0A83" w:rsidRPr="001F5812">
        <w:rPr>
          <w:rFonts w:asciiTheme="minorHAnsi" w:hAnsiTheme="minorHAnsi" w:cstheme="minorHAnsi"/>
          <w:i w:val="0"/>
          <w:color w:val="auto"/>
          <w:szCs w:val="24"/>
        </w:rPr>
        <w:t xml:space="preserve"> what it means to have “lived independently in the community” for the purposes of determining one’s qualifications to provide peer mentor supports, and the Board is concerned that the phrase is susceptible to interpretations that would exclude a number of people with developmental</w:t>
      </w:r>
      <w:r w:rsidR="007C7817" w:rsidRPr="001F5812">
        <w:rPr>
          <w:rFonts w:asciiTheme="minorHAnsi" w:hAnsiTheme="minorHAnsi" w:cstheme="minorHAnsi"/>
          <w:i w:val="0"/>
          <w:color w:val="auto"/>
          <w:szCs w:val="24"/>
        </w:rPr>
        <w:t xml:space="preserve"> disabilities who would be well-</w:t>
      </w:r>
      <w:r w:rsidR="002A0A83" w:rsidRPr="001F5812">
        <w:rPr>
          <w:rFonts w:asciiTheme="minorHAnsi" w:hAnsiTheme="minorHAnsi" w:cstheme="minorHAnsi"/>
          <w:i w:val="0"/>
          <w:color w:val="auto"/>
          <w:szCs w:val="24"/>
        </w:rPr>
        <w:t xml:space="preserve">suited to delivering the allowable activities defined in the application. The phrase could be interpreted, for instance, to mean that an individual must live in his or her own apartment or home, which could exclude individuals in other types of residential settings, such as supported living, who could prove very capable of acting as peer mentors. </w:t>
      </w:r>
      <w:r w:rsidRPr="001F5812">
        <w:rPr>
          <w:rFonts w:asciiTheme="minorHAnsi" w:hAnsiTheme="minorHAnsi" w:cstheme="minorHAnsi"/>
          <w:i w:val="0"/>
          <w:color w:val="auto"/>
          <w:szCs w:val="24"/>
        </w:rPr>
        <w:t>The Board recommends that DMAS reconsider and/or clarify the standard.</w:t>
      </w:r>
      <w:r w:rsidR="00DF551D" w:rsidRPr="001F5812">
        <w:rPr>
          <w:rFonts w:asciiTheme="minorHAnsi" w:hAnsiTheme="minorHAnsi" w:cstheme="minorHAnsi"/>
          <w:i w:val="0"/>
          <w:color w:val="auto"/>
          <w:szCs w:val="24"/>
        </w:rPr>
        <w:t xml:space="preserve"> </w:t>
      </w:r>
      <w:r w:rsidRPr="001F5812">
        <w:rPr>
          <w:rFonts w:asciiTheme="minorHAnsi" w:hAnsiTheme="minorHAnsi" w:cstheme="minorHAnsi"/>
          <w:i w:val="0"/>
          <w:color w:val="auto"/>
          <w:szCs w:val="24"/>
        </w:rPr>
        <w:t>In addition, the Board notes that the training for peer mentors will be delivered by the DBHDS Office of Recovery.</w:t>
      </w:r>
      <w:r w:rsidR="00DF551D" w:rsidRPr="001F5812">
        <w:rPr>
          <w:rFonts w:asciiTheme="minorHAnsi" w:hAnsiTheme="minorHAnsi" w:cstheme="minorHAnsi"/>
          <w:i w:val="0"/>
          <w:color w:val="auto"/>
          <w:szCs w:val="24"/>
        </w:rPr>
        <w:t xml:space="preserve"> </w:t>
      </w:r>
      <w:r w:rsidRPr="001F5812">
        <w:rPr>
          <w:rFonts w:asciiTheme="minorHAnsi" w:hAnsiTheme="minorHAnsi" w:cstheme="minorHAnsi"/>
          <w:i w:val="0"/>
          <w:color w:val="auto"/>
          <w:szCs w:val="24"/>
        </w:rPr>
        <w:t>It is important to ensure that staff in that office have the appropriate knowledge and training themselves to work effectively and train persons with developmental disabilities.</w:t>
      </w:r>
    </w:p>
    <w:p w14:paraId="20FF4C35" w14:textId="77777777" w:rsidR="00EA4D2C" w:rsidRPr="001F5812" w:rsidRDefault="00EA4D2C" w:rsidP="003F51B1">
      <w:pPr>
        <w:pStyle w:val="ListParagraph"/>
        <w:numPr>
          <w:ilvl w:val="0"/>
          <w:numId w:val="28"/>
        </w:numPr>
        <w:spacing w:line="240" w:lineRule="auto"/>
        <w:outlineLvl w:val="2"/>
        <w:rPr>
          <w:rFonts w:asciiTheme="minorHAnsi" w:hAnsiTheme="minorHAnsi" w:cstheme="minorHAnsi"/>
          <w:b/>
          <w:i w:val="0"/>
          <w:color w:val="auto"/>
          <w:szCs w:val="24"/>
        </w:rPr>
      </w:pPr>
      <w:r w:rsidRPr="001F5812">
        <w:rPr>
          <w:rFonts w:asciiTheme="minorHAnsi" w:hAnsiTheme="minorHAnsi" w:cstheme="minorHAnsi"/>
          <w:b/>
          <w:i w:val="0"/>
          <w:color w:val="auto"/>
          <w:szCs w:val="24"/>
        </w:rPr>
        <w:t>The Board recommends an analysis of how to make Shared Living (Rent and food expenses for live in Caregiver) a viable service</w:t>
      </w:r>
    </w:p>
    <w:p w14:paraId="5E0B86C9" w14:textId="7022C399" w:rsidR="00EA4D2C" w:rsidRPr="001F5812" w:rsidRDefault="00EA4D2C" w:rsidP="00B56862">
      <w:pPr>
        <w:spacing w:line="240" w:lineRule="auto"/>
        <w:ind w:left="360"/>
        <w:rPr>
          <w:rFonts w:asciiTheme="minorHAnsi" w:hAnsiTheme="minorHAnsi" w:cstheme="minorHAnsi"/>
          <w:i w:val="0"/>
          <w:color w:val="auto"/>
          <w:szCs w:val="24"/>
        </w:rPr>
      </w:pPr>
      <w:r w:rsidRPr="001F5812">
        <w:rPr>
          <w:rFonts w:asciiTheme="minorHAnsi" w:hAnsiTheme="minorHAnsi" w:cstheme="minorHAnsi"/>
          <w:i w:val="0"/>
          <w:color w:val="auto"/>
          <w:szCs w:val="24"/>
        </w:rPr>
        <w:t>Shared living is a great addition to services available to people with DD within the redesigned waivers. Unfortunately</w:t>
      </w:r>
      <w:r w:rsidR="007B5927" w:rsidRPr="001F5812">
        <w:rPr>
          <w:rFonts w:asciiTheme="minorHAnsi" w:hAnsiTheme="minorHAnsi" w:cstheme="minorHAnsi"/>
          <w:i w:val="0"/>
          <w:color w:val="auto"/>
          <w:szCs w:val="24"/>
        </w:rPr>
        <w:t>,</w:t>
      </w:r>
      <w:r w:rsidRPr="001F5812">
        <w:rPr>
          <w:rFonts w:asciiTheme="minorHAnsi" w:hAnsiTheme="minorHAnsi" w:cstheme="minorHAnsi"/>
          <w:i w:val="0"/>
          <w:color w:val="auto"/>
          <w:szCs w:val="24"/>
        </w:rPr>
        <w:t xml:space="preserve"> the service is not being utilized and providers have expressed concerns </w:t>
      </w:r>
      <w:r w:rsidR="007B5927" w:rsidRPr="001F5812">
        <w:rPr>
          <w:rFonts w:asciiTheme="minorHAnsi" w:hAnsiTheme="minorHAnsi" w:cstheme="minorHAnsi"/>
          <w:i w:val="0"/>
          <w:color w:val="auto"/>
          <w:szCs w:val="24"/>
        </w:rPr>
        <w:t xml:space="preserve">about potential </w:t>
      </w:r>
      <w:r w:rsidRPr="001F5812">
        <w:rPr>
          <w:rFonts w:asciiTheme="minorHAnsi" w:hAnsiTheme="minorHAnsi" w:cstheme="minorHAnsi"/>
          <w:i w:val="0"/>
          <w:color w:val="auto"/>
          <w:szCs w:val="24"/>
        </w:rPr>
        <w:t>liability and other barriers</w:t>
      </w:r>
      <w:r w:rsidR="007B5927" w:rsidRPr="001F5812">
        <w:rPr>
          <w:rFonts w:asciiTheme="minorHAnsi" w:hAnsiTheme="minorHAnsi" w:cstheme="minorHAnsi"/>
          <w:i w:val="0"/>
          <w:color w:val="auto"/>
          <w:szCs w:val="24"/>
        </w:rPr>
        <w:t xml:space="preserve"> that may prevent individuals from benefiting from the service</w:t>
      </w:r>
      <w:r w:rsidRPr="001F5812">
        <w:rPr>
          <w:rFonts w:asciiTheme="minorHAnsi" w:hAnsiTheme="minorHAnsi" w:cstheme="minorHAnsi"/>
          <w:i w:val="0"/>
          <w:color w:val="auto"/>
          <w:szCs w:val="24"/>
        </w:rPr>
        <w:t xml:space="preserve">. </w:t>
      </w:r>
      <w:r w:rsidR="007B5927" w:rsidRPr="001F5812">
        <w:rPr>
          <w:rFonts w:asciiTheme="minorHAnsi" w:hAnsiTheme="minorHAnsi" w:cstheme="minorHAnsi"/>
          <w:i w:val="0"/>
          <w:color w:val="auto"/>
          <w:szCs w:val="24"/>
        </w:rPr>
        <w:t xml:space="preserve">A number of questions that have been raised by the provider community remain unanswered: </w:t>
      </w:r>
      <w:r w:rsidRPr="001F5812">
        <w:rPr>
          <w:rFonts w:asciiTheme="minorHAnsi" w:hAnsiTheme="minorHAnsi" w:cstheme="minorHAnsi"/>
          <w:i w:val="0"/>
          <w:color w:val="auto"/>
          <w:szCs w:val="24"/>
        </w:rPr>
        <w:t>What if the individual does not use the money provided for rent</w:t>
      </w:r>
      <w:r w:rsidR="00A4286A" w:rsidRPr="001F5812">
        <w:rPr>
          <w:rFonts w:asciiTheme="minorHAnsi" w:hAnsiTheme="minorHAnsi" w:cstheme="minorHAnsi"/>
          <w:i w:val="0"/>
          <w:color w:val="auto"/>
          <w:szCs w:val="24"/>
        </w:rPr>
        <w:t>?</w:t>
      </w:r>
      <w:r w:rsidRPr="001F5812">
        <w:rPr>
          <w:rFonts w:asciiTheme="minorHAnsi" w:hAnsiTheme="minorHAnsi" w:cstheme="minorHAnsi"/>
          <w:i w:val="0"/>
          <w:color w:val="auto"/>
          <w:szCs w:val="24"/>
        </w:rPr>
        <w:t xml:space="preserve"> What is the liability of the provider agency regarding the roommate that is chosen by the </w:t>
      </w:r>
      <w:r w:rsidR="00091135" w:rsidRPr="001F5812">
        <w:rPr>
          <w:rFonts w:asciiTheme="minorHAnsi" w:hAnsiTheme="minorHAnsi" w:cstheme="minorHAnsi"/>
          <w:i w:val="0"/>
          <w:color w:val="auto"/>
          <w:szCs w:val="24"/>
        </w:rPr>
        <w:t>individual?</w:t>
      </w:r>
      <w:r w:rsidR="00DF551D" w:rsidRPr="001F5812">
        <w:rPr>
          <w:rFonts w:asciiTheme="minorHAnsi" w:hAnsiTheme="minorHAnsi" w:cstheme="minorHAnsi"/>
          <w:i w:val="0"/>
          <w:color w:val="auto"/>
          <w:szCs w:val="24"/>
        </w:rPr>
        <w:t xml:space="preserve"> </w:t>
      </w:r>
      <w:r w:rsidRPr="001F5812">
        <w:rPr>
          <w:rFonts w:asciiTheme="minorHAnsi" w:hAnsiTheme="minorHAnsi" w:cstheme="minorHAnsi"/>
          <w:i w:val="0"/>
          <w:color w:val="auto"/>
          <w:szCs w:val="24"/>
        </w:rPr>
        <w:t xml:space="preserve">Is there an impact on benefits if the rent money is given directly to the </w:t>
      </w:r>
      <w:r w:rsidR="00091135" w:rsidRPr="001F5812">
        <w:rPr>
          <w:rFonts w:asciiTheme="minorHAnsi" w:hAnsiTheme="minorHAnsi" w:cstheme="minorHAnsi"/>
          <w:i w:val="0"/>
          <w:color w:val="auto"/>
          <w:szCs w:val="24"/>
        </w:rPr>
        <w:t>individual?</w:t>
      </w:r>
      <w:r w:rsidRPr="001F5812">
        <w:rPr>
          <w:rFonts w:asciiTheme="minorHAnsi" w:hAnsiTheme="minorHAnsi" w:cstheme="minorHAnsi"/>
          <w:i w:val="0"/>
          <w:color w:val="auto"/>
          <w:szCs w:val="24"/>
        </w:rPr>
        <w:t xml:space="preserve"> What happens if the roommate leaves and there is no one immediately available or acceptable to the individual to move in as a new roommate</w:t>
      </w:r>
      <w:r w:rsidR="00A4286A" w:rsidRPr="001F5812">
        <w:rPr>
          <w:rFonts w:asciiTheme="minorHAnsi" w:hAnsiTheme="minorHAnsi" w:cstheme="minorHAnsi"/>
          <w:i w:val="0"/>
          <w:color w:val="auto"/>
          <w:szCs w:val="24"/>
        </w:rPr>
        <w:t>?</w:t>
      </w:r>
      <w:r w:rsidR="00DF551D" w:rsidRPr="001F5812">
        <w:rPr>
          <w:rFonts w:asciiTheme="minorHAnsi" w:hAnsiTheme="minorHAnsi" w:cstheme="minorHAnsi"/>
          <w:i w:val="0"/>
          <w:color w:val="auto"/>
          <w:szCs w:val="24"/>
        </w:rPr>
        <w:t xml:space="preserve"> </w:t>
      </w:r>
      <w:r w:rsidRPr="001F5812">
        <w:rPr>
          <w:rFonts w:asciiTheme="minorHAnsi" w:hAnsiTheme="minorHAnsi" w:cstheme="minorHAnsi"/>
          <w:i w:val="0"/>
          <w:color w:val="auto"/>
          <w:szCs w:val="24"/>
        </w:rPr>
        <w:t>The Board recommends that DMAS and DBHDS review how this service has been implemented effectively in other states and make the necessary changes that would increase its use in the Commonwealth as a service that is viable to individuals and to provider agencies.</w:t>
      </w:r>
    </w:p>
    <w:p w14:paraId="1F499825" w14:textId="723EDE45" w:rsidR="00B73D8E" w:rsidRPr="001F5812" w:rsidRDefault="00E36602" w:rsidP="000B0FA4">
      <w:pPr>
        <w:spacing w:line="240" w:lineRule="auto"/>
        <w:outlineLvl w:val="1"/>
        <w:rPr>
          <w:rFonts w:asciiTheme="minorHAnsi" w:hAnsiTheme="minorHAnsi" w:cstheme="minorHAnsi"/>
          <w:b/>
          <w:i w:val="0"/>
          <w:color w:val="auto"/>
          <w:szCs w:val="24"/>
          <w:u w:val="single"/>
        </w:rPr>
      </w:pPr>
      <w:r w:rsidRPr="001F5812">
        <w:rPr>
          <w:rFonts w:asciiTheme="minorHAnsi" w:hAnsiTheme="minorHAnsi" w:cstheme="minorHAnsi"/>
          <w:b/>
          <w:i w:val="0"/>
          <w:color w:val="auto"/>
          <w:szCs w:val="24"/>
          <w:u w:val="single"/>
        </w:rPr>
        <w:t>Appendix C: Participant Services</w:t>
      </w:r>
      <w:r w:rsidR="007B7994" w:rsidRPr="001F5812">
        <w:rPr>
          <w:rFonts w:asciiTheme="minorHAnsi" w:hAnsiTheme="minorHAnsi" w:cstheme="minorHAnsi"/>
          <w:b/>
          <w:i w:val="0"/>
          <w:color w:val="auto"/>
          <w:szCs w:val="24"/>
          <w:u w:val="single"/>
        </w:rPr>
        <w:t xml:space="preserve"> </w:t>
      </w:r>
      <w:r w:rsidRPr="001F5812">
        <w:rPr>
          <w:rFonts w:asciiTheme="minorHAnsi" w:hAnsiTheme="minorHAnsi" w:cstheme="minorHAnsi"/>
          <w:b/>
          <w:i w:val="0"/>
          <w:color w:val="auto"/>
          <w:szCs w:val="24"/>
          <w:u w:val="single"/>
        </w:rPr>
        <w:t>- Quality Improvement: Qualified Providers</w:t>
      </w:r>
    </w:p>
    <w:p w14:paraId="484DCD52" w14:textId="4774D284" w:rsidR="00E36602" w:rsidRPr="001F5812" w:rsidRDefault="00E36602" w:rsidP="00B56862">
      <w:pPr>
        <w:pStyle w:val="ListParagraph"/>
        <w:numPr>
          <w:ilvl w:val="0"/>
          <w:numId w:val="28"/>
        </w:numPr>
        <w:spacing w:line="240" w:lineRule="auto"/>
        <w:rPr>
          <w:rFonts w:asciiTheme="minorHAnsi" w:hAnsiTheme="minorHAnsi" w:cstheme="minorHAnsi"/>
          <w:b/>
          <w:i w:val="0"/>
          <w:color w:val="auto"/>
          <w:szCs w:val="24"/>
        </w:rPr>
      </w:pPr>
      <w:r w:rsidRPr="001F5812">
        <w:rPr>
          <w:rFonts w:asciiTheme="minorHAnsi" w:hAnsiTheme="minorHAnsi" w:cstheme="minorHAnsi"/>
          <w:b/>
          <w:i w:val="0"/>
          <w:color w:val="auto"/>
          <w:szCs w:val="24"/>
        </w:rPr>
        <w:t>“Sub-assurance: The State monitors non-licensed/non-certified providers to assure adherence to waiver requirements”</w:t>
      </w:r>
      <w:r w:rsidR="00591276" w:rsidRPr="001F5812">
        <w:rPr>
          <w:rFonts w:asciiTheme="minorHAnsi" w:hAnsiTheme="minorHAnsi" w:cstheme="minorHAnsi"/>
          <w:b/>
          <w:i w:val="0"/>
          <w:color w:val="auto"/>
          <w:szCs w:val="24"/>
        </w:rPr>
        <w:t xml:space="preserve"> Section: The Board recommends adding performance measure(s) that speak to waiver requirements for non-licensed/non-certified providers beyond background checks.</w:t>
      </w:r>
    </w:p>
    <w:p w14:paraId="0B1E1E95" w14:textId="2FAE89E0" w:rsidR="00E36602" w:rsidRPr="001F5812" w:rsidRDefault="00EA1454" w:rsidP="00B56862">
      <w:pPr>
        <w:pStyle w:val="ListParagraph"/>
        <w:spacing w:after="240" w:line="240" w:lineRule="auto"/>
        <w:ind w:left="360"/>
        <w:rPr>
          <w:rFonts w:asciiTheme="minorHAnsi" w:hAnsiTheme="minorHAnsi" w:cstheme="minorHAnsi"/>
          <w:i w:val="0"/>
          <w:color w:val="auto"/>
          <w:szCs w:val="24"/>
        </w:rPr>
      </w:pPr>
      <w:r w:rsidRPr="001F5812">
        <w:rPr>
          <w:rFonts w:asciiTheme="minorHAnsi" w:hAnsiTheme="minorHAnsi" w:cstheme="minorHAnsi"/>
          <w:i w:val="0"/>
          <w:color w:val="auto"/>
          <w:szCs w:val="24"/>
        </w:rPr>
        <w:lastRenderedPageBreak/>
        <w:t xml:space="preserve">The proposed performance measures address the provision of criminal background checks, but do not address whether other qualifications are met for non-licensed/non-certified providers, with the exception of services facilitation providers. </w:t>
      </w:r>
      <w:r w:rsidR="00B85B50" w:rsidRPr="001F5812">
        <w:rPr>
          <w:rFonts w:asciiTheme="minorHAnsi" w:hAnsiTheme="minorHAnsi" w:cstheme="minorHAnsi"/>
          <w:i w:val="0"/>
          <w:color w:val="auto"/>
          <w:szCs w:val="24"/>
        </w:rPr>
        <w:t>Some services have additional qualifications beyond background checks. For example, the employment and community transportation service requires the administering agency to annually verify that private drivers are at least 18 years old, have a valid driver’s license, have a satisfactory driving record, and have car insurance with certain minimum coverages. The waiver application should include performance measures that speak to the number and percentage of such providers who meet these additional requirements.</w:t>
      </w:r>
    </w:p>
    <w:p w14:paraId="726CFB7C" w14:textId="5BE5CBE4" w:rsidR="00591276" w:rsidRPr="001F5812" w:rsidRDefault="00591276" w:rsidP="00B56862">
      <w:pPr>
        <w:pStyle w:val="ListParagraph"/>
        <w:numPr>
          <w:ilvl w:val="0"/>
          <w:numId w:val="28"/>
        </w:numPr>
        <w:spacing w:line="240" w:lineRule="auto"/>
        <w:rPr>
          <w:rFonts w:asciiTheme="minorHAnsi" w:hAnsiTheme="minorHAnsi" w:cstheme="minorHAnsi"/>
          <w:b/>
          <w:i w:val="0"/>
          <w:color w:val="auto"/>
          <w:szCs w:val="24"/>
        </w:rPr>
      </w:pPr>
      <w:r w:rsidRPr="001F5812">
        <w:rPr>
          <w:rFonts w:asciiTheme="minorHAnsi" w:hAnsiTheme="minorHAnsi" w:cstheme="minorHAnsi"/>
          <w:b/>
          <w:i w:val="0"/>
          <w:color w:val="auto"/>
          <w:szCs w:val="24"/>
        </w:rPr>
        <w:t>“Sub-assurance: The State implements its policies and procedures for verifying that provider training is conducted with state requirements and the approved waiver” Section: The Board recommends adding performance measure(s) that speak to training requirements for additional types of service providers.</w:t>
      </w:r>
    </w:p>
    <w:p w14:paraId="11D5A84D" w14:textId="28D114F7" w:rsidR="00591276" w:rsidRPr="001F5812" w:rsidRDefault="00676EA4" w:rsidP="00B56862">
      <w:pPr>
        <w:pStyle w:val="ListParagraph"/>
        <w:spacing w:after="240" w:line="240" w:lineRule="auto"/>
        <w:ind w:left="360"/>
        <w:rPr>
          <w:rFonts w:asciiTheme="minorHAnsi" w:hAnsiTheme="minorHAnsi" w:cstheme="minorHAnsi"/>
          <w:b/>
          <w:i w:val="0"/>
          <w:color w:val="auto"/>
          <w:szCs w:val="24"/>
        </w:rPr>
      </w:pPr>
      <w:r w:rsidRPr="001F5812">
        <w:rPr>
          <w:rFonts w:asciiTheme="minorHAnsi" w:hAnsiTheme="minorHAnsi" w:cstheme="minorHAnsi"/>
          <w:i w:val="0"/>
          <w:color w:val="auto"/>
          <w:szCs w:val="24"/>
        </w:rPr>
        <w:t>The proposed performance measures address the provision of training for provider agency orientation, services facilitation providers, and direct support professionals. However, there are training requirements for additional types of providers. For example, t</w:t>
      </w:r>
      <w:r w:rsidR="00591276" w:rsidRPr="001F5812">
        <w:rPr>
          <w:rFonts w:asciiTheme="minorHAnsi" w:hAnsiTheme="minorHAnsi" w:cstheme="minorHAnsi"/>
          <w:i w:val="0"/>
          <w:color w:val="auto"/>
          <w:szCs w:val="24"/>
        </w:rPr>
        <w:t>he shared living service requires that the roommate meet basic training requirements regarding CPR, safety awareness, fire safety and disaster planning, conflict management and resolution, or any other necessary specialized training defined in the individual’s person-centered plan.</w:t>
      </w:r>
      <w:r w:rsidRPr="001F5812">
        <w:rPr>
          <w:rFonts w:asciiTheme="minorHAnsi" w:hAnsiTheme="minorHAnsi" w:cstheme="minorHAnsi"/>
          <w:i w:val="0"/>
          <w:color w:val="auto"/>
          <w:szCs w:val="24"/>
        </w:rPr>
        <w:t xml:space="preserve"> The waiver application should include performance measures that speak to the number and percentage of such providers who meet their respective training requirements.</w:t>
      </w:r>
    </w:p>
    <w:p w14:paraId="41210E7E" w14:textId="092F8186" w:rsidR="0085187E" w:rsidRPr="001F5812" w:rsidRDefault="0085187E" w:rsidP="000B0FA4">
      <w:pPr>
        <w:spacing w:line="240" w:lineRule="auto"/>
        <w:outlineLvl w:val="1"/>
        <w:rPr>
          <w:rFonts w:asciiTheme="minorHAnsi" w:hAnsiTheme="minorHAnsi" w:cstheme="minorHAnsi"/>
          <w:b/>
          <w:i w:val="0"/>
          <w:color w:val="auto"/>
          <w:szCs w:val="24"/>
          <w:u w:val="single"/>
        </w:rPr>
      </w:pPr>
      <w:r w:rsidRPr="001F5812">
        <w:rPr>
          <w:rFonts w:asciiTheme="minorHAnsi" w:hAnsiTheme="minorHAnsi" w:cstheme="minorHAnsi"/>
          <w:b/>
          <w:i w:val="0"/>
          <w:color w:val="auto"/>
          <w:szCs w:val="24"/>
          <w:u w:val="single"/>
        </w:rPr>
        <w:t>Appendix C</w:t>
      </w:r>
      <w:r w:rsidR="00CC154D" w:rsidRPr="001F5812">
        <w:rPr>
          <w:rFonts w:asciiTheme="minorHAnsi" w:hAnsiTheme="minorHAnsi" w:cstheme="minorHAnsi"/>
          <w:b/>
          <w:i w:val="0"/>
          <w:color w:val="auto"/>
          <w:szCs w:val="24"/>
          <w:u w:val="single"/>
        </w:rPr>
        <w:t>-4</w:t>
      </w:r>
      <w:r w:rsidRPr="001F5812">
        <w:rPr>
          <w:rFonts w:asciiTheme="minorHAnsi" w:hAnsiTheme="minorHAnsi" w:cstheme="minorHAnsi"/>
          <w:b/>
          <w:i w:val="0"/>
          <w:color w:val="auto"/>
          <w:szCs w:val="24"/>
          <w:u w:val="single"/>
        </w:rPr>
        <w:t>:</w:t>
      </w:r>
      <w:r w:rsidR="00DF551D" w:rsidRPr="001F5812">
        <w:rPr>
          <w:rFonts w:asciiTheme="minorHAnsi" w:hAnsiTheme="minorHAnsi" w:cstheme="minorHAnsi"/>
          <w:b/>
          <w:i w:val="0"/>
          <w:color w:val="auto"/>
          <w:szCs w:val="24"/>
          <w:u w:val="single"/>
        </w:rPr>
        <w:t xml:space="preserve"> </w:t>
      </w:r>
      <w:r w:rsidR="00CC154D" w:rsidRPr="001F5812">
        <w:rPr>
          <w:rFonts w:asciiTheme="minorHAnsi" w:hAnsiTheme="minorHAnsi" w:cstheme="minorHAnsi"/>
          <w:b/>
          <w:i w:val="0"/>
          <w:color w:val="auto"/>
          <w:szCs w:val="24"/>
          <w:u w:val="single"/>
        </w:rPr>
        <w:t>Participant Services</w:t>
      </w:r>
      <w:r w:rsidR="00DF1163" w:rsidRPr="001F5812">
        <w:rPr>
          <w:rFonts w:asciiTheme="minorHAnsi" w:hAnsiTheme="minorHAnsi" w:cstheme="minorHAnsi"/>
          <w:b/>
          <w:i w:val="0"/>
          <w:color w:val="auto"/>
          <w:szCs w:val="24"/>
          <w:u w:val="single"/>
        </w:rPr>
        <w:t xml:space="preserve"> </w:t>
      </w:r>
      <w:r w:rsidR="00CC154D" w:rsidRPr="001F5812">
        <w:rPr>
          <w:rFonts w:asciiTheme="minorHAnsi" w:hAnsiTheme="minorHAnsi" w:cstheme="minorHAnsi"/>
          <w:b/>
          <w:i w:val="0"/>
          <w:color w:val="auto"/>
          <w:szCs w:val="24"/>
          <w:u w:val="single"/>
        </w:rPr>
        <w:t xml:space="preserve">- </w:t>
      </w:r>
      <w:r w:rsidRPr="001F5812">
        <w:rPr>
          <w:rFonts w:asciiTheme="minorHAnsi" w:hAnsiTheme="minorHAnsi" w:cstheme="minorHAnsi"/>
          <w:b/>
          <w:i w:val="0"/>
          <w:color w:val="auto"/>
          <w:szCs w:val="24"/>
          <w:u w:val="single"/>
        </w:rPr>
        <w:t xml:space="preserve">Additional </w:t>
      </w:r>
      <w:r w:rsidR="00CC154D" w:rsidRPr="001F5812">
        <w:rPr>
          <w:rFonts w:asciiTheme="minorHAnsi" w:hAnsiTheme="minorHAnsi" w:cstheme="minorHAnsi"/>
          <w:b/>
          <w:i w:val="0"/>
          <w:color w:val="auto"/>
          <w:szCs w:val="24"/>
          <w:u w:val="single"/>
        </w:rPr>
        <w:t>L</w:t>
      </w:r>
      <w:r w:rsidRPr="001F5812">
        <w:rPr>
          <w:rFonts w:asciiTheme="minorHAnsi" w:hAnsiTheme="minorHAnsi" w:cstheme="minorHAnsi"/>
          <w:b/>
          <w:i w:val="0"/>
          <w:color w:val="auto"/>
          <w:szCs w:val="24"/>
          <w:u w:val="single"/>
        </w:rPr>
        <w:t xml:space="preserve">imits on </w:t>
      </w:r>
      <w:r w:rsidR="00CC154D" w:rsidRPr="001F5812">
        <w:rPr>
          <w:rFonts w:asciiTheme="minorHAnsi" w:hAnsiTheme="minorHAnsi" w:cstheme="minorHAnsi"/>
          <w:b/>
          <w:i w:val="0"/>
          <w:color w:val="auto"/>
          <w:szCs w:val="24"/>
          <w:u w:val="single"/>
        </w:rPr>
        <w:t>Amount of W</w:t>
      </w:r>
      <w:r w:rsidRPr="001F5812">
        <w:rPr>
          <w:rFonts w:asciiTheme="minorHAnsi" w:hAnsiTheme="minorHAnsi" w:cstheme="minorHAnsi"/>
          <w:b/>
          <w:i w:val="0"/>
          <w:color w:val="auto"/>
          <w:szCs w:val="24"/>
          <w:u w:val="single"/>
        </w:rPr>
        <w:t xml:space="preserve">aiver </w:t>
      </w:r>
      <w:r w:rsidR="00CC154D" w:rsidRPr="001F5812">
        <w:rPr>
          <w:rFonts w:asciiTheme="minorHAnsi" w:hAnsiTheme="minorHAnsi" w:cstheme="minorHAnsi"/>
          <w:b/>
          <w:i w:val="0"/>
          <w:color w:val="auto"/>
          <w:szCs w:val="24"/>
          <w:u w:val="single"/>
        </w:rPr>
        <w:t>S</w:t>
      </w:r>
      <w:r w:rsidR="00091135" w:rsidRPr="001F5812">
        <w:rPr>
          <w:rFonts w:asciiTheme="minorHAnsi" w:hAnsiTheme="minorHAnsi" w:cstheme="minorHAnsi"/>
          <w:b/>
          <w:i w:val="0"/>
          <w:color w:val="auto"/>
          <w:szCs w:val="24"/>
          <w:u w:val="single"/>
        </w:rPr>
        <w:t>ervices</w:t>
      </w:r>
    </w:p>
    <w:p w14:paraId="55B2A98B" w14:textId="4DC23709" w:rsidR="0085187E" w:rsidRPr="001F5812" w:rsidRDefault="0026767B" w:rsidP="00B56862">
      <w:pPr>
        <w:pStyle w:val="ListParagraph"/>
        <w:numPr>
          <w:ilvl w:val="0"/>
          <w:numId w:val="28"/>
        </w:numPr>
        <w:spacing w:line="240" w:lineRule="auto"/>
        <w:rPr>
          <w:rFonts w:asciiTheme="minorHAnsi" w:hAnsiTheme="minorHAnsi" w:cstheme="minorHAnsi"/>
          <w:b/>
          <w:i w:val="0"/>
          <w:color w:val="auto"/>
          <w:szCs w:val="24"/>
        </w:rPr>
      </w:pPr>
      <w:r w:rsidRPr="001F5812">
        <w:rPr>
          <w:rFonts w:asciiTheme="minorHAnsi" w:hAnsiTheme="minorHAnsi" w:cstheme="minorHAnsi"/>
          <w:b/>
          <w:i w:val="0"/>
          <w:color w:val="auto"/>
          <w:szCs w:val="24"/>
        </w:rPr>
        <w:t xml:space="preserve">“Additional Limits on Amount of Waiver Services” Section: </w:t>
      </w:r>
      <w:r w:rsidR="0085187E" w:rsidRPr="001F5812">
        <w:rPr>
          <w:rFonts w:asciiTheme="minorHAnsi" w:hAnsiTheme="minorHAnsi" w:cstheme="minorHAnsi"/>
          <w:b/>
          <w:i w:val="0"/>
          <w:color w:val="auto"/>
          <w:szCs w:val="24"/>
        </w:rPr>
        <w:t xml:space="preserve">In view of legislation passed by the 2019 General Assembly which requires explicit authorization of the General Assembly </w:t>
      </w:r>
      <w:r w:rsidR="00C354EF" w:rsidRPr="001F5812">
        <w:rPr>
          <w:rFonts w:asciiTheme="minorHAnsi" w:hAnsiTheme="minorHAnsi" w:cstheme="minorHAnsi"/>
          <w:b/>
          <w:i w:val="0"/>
          <w:color w:val="auto"/>
          <w:szCs w:val="24"/>
        </w:rPr>
        <w:t xml:space="preserve">through legislative or budget language </w:t>
      </w:r>
      <w:r w:rsidR="0085187E" w:rsidRPr="001F5812">
        <w:rPr>
          <w:rFonts w:asciiTheme="minorHAnsi" w:hAnsiTheme="minorHAnsi" w:cstheme="minorHAnsi"/>
          <w:b/>
          <w:i w:val="0"/>
          <w:color w:val="auto"/>
          <w:szCs w:val="24"/>
        </w:rPr>
        <w:t>prior to implementing Service Packages, the Board recommends that the relevant provision of the waiver application be removed or further clarified with respect to legislative requirements.</w:t>
      </w:r>
    </w:p>
    <w:p w14:paraId="73D09EEE" w14:textId="0D57FBCA" w:rsidR="0085187E" w:rsidRPr="001F5812" w:rsidRDefault="0085187E" w:rsidP="00B56862">
      <w:pPr>
        <w:spacing w:line="240" w:lineRule="auto"/>
        <w:ind w:left="360"/>
        <w:rPr>
          <w:rFonts w:asciiTheme="minorHAnsi" w:hAnsiTheme="minorHAnsi"/>
          <w:color w:val="auto"/>
        </w:rPr>
      </w:pPr>
      <w:r w:rsidRPr="001F5812">
        <w:rPr>
          <w:rFonts w:asciiTheme="minorHAnsi" w:hAnsiTheme="minorHAnsi"/>
          <w:color w:val="auto"/>
        </w:rPr>
        <w:t>“Budget Limits by Level of Support. Based on an assessment process and/or other factors, participants are assigned to funding levels that are limits on the maximum dollar amount of waiver services. Furnish the information specified above”</w:t>
      </w:r>
    </w:p>
    <w:p w14:paraId="2E8261DE" w14:textId="505EB8EC" w:rsidR="00B75648" w:rsidRPr="001F5812" w:rsidRDefault="0085187E" w:rsidP="002D6550">
      <w:pPr>
        <w:spacing w:after="240" w:line="240" w:lineRule="auto"/>
        <w:ind w:left="360"/>
        <w:rPr>
          <w:rFonts w:asciiTheme="minorHAnsi" w:hAnsiTheme="minorHAnsi" w:cstheme="minorHAnsi"/>
          <w:i w:val="0"/>
          <w:color w:val="auto"/>
          <w:szCs w:val="24"/>
        </w:rPr>
      </w:pPr>
      <w:r w:rsidRPr="001F5812">
        <w:rPr>
          <w:rFonts w:asciiTheme="minorHAnsi" w:hAnsiTheme="minorHAnsi" w:cstheme="minorHAnsi"/>
          <w:i w:val="0"/>
          <w:color w:val="auto"/>
          <w:szCs w:val="24"/>
        </w:rPr>
        <w:t xml:space="preserve">There is </w:t>
      </w:r>
      <w:r w:rsidR="00A41FCB" w:rsidRPr="001F5812">
        <w:rPr>
          <w:rFonts w:asciiTheme="minorHAnsi" w:hAnsiTheme="minorHAnsi" w:cstheme="minorHAnsi"/>
          <w:i w:val="0"/>
          <w:color w:val="auto"/>
          <w:szCs w:val="24"/>
        </w:rPr>
        <w:t>significant</w:t>
      </w:r>
      <w:r w:rsidRPr="001F5812">
        <w:rPr>
          <w:rFonts w:asciiTheme="minorHAnsi" w:hAnsiTheme="minorHAnsi" w:cstheme="minorHAnsi"/>
          <w:i w:val="0"/>
          <w:color w:val="auto"/>
          <w:szCs w:val="24"/>
        </w:rPr>
        <w:t xml:space="preserve"> opposition to the implementation of Serv</w:t>
      </w:r>
      <w:r w:rsidR="00A41FCB" w:rsidRPr="001F5812">
        <w:rPr>
          <w:rFonts w:asciiTheme="minorHAnsi" w:hAnsiTheme="minorHAnsi" w:cstheme="minorHAnsi"/>
          <w:i w:val="0"/>
          <w:color w:val="auto"/>
          <w:szCs w:val="24"/>
        </w:rPr>
        <w:t xml:space="preserve">ice Packages, along with the use of a planning and aspirational calendar, </w:t>
      </w:r>
      <w:r w:rsidRPr="001F5812">
        <w:rPr>
          <w:rFonts w:asciiTheme="minorHAnsi" w:hAnsiTheme="minorHAnsi" w:cstheme="minorHAnsi"/>
          <w:i w:val="0"/>
          <w:color w:val="auto"/>
          <w:szCs w:val="24"/>
        </w:rPr>
        <w:t>by individuals, families, advocates, and providers.</w:t>
      </w:r>
      <w:r w:rsidR="00DF551D" w:rsidRPr="001F5812">
        <w:rPr>
          <w:rFonts w:asciiTheme="minorHAnsi" w:hAnsiTheme="minorHAnsi" w:cstheme="minorHAnsi"/>
          <w:i w:val="0"/>
          <w:color w:val="auto"/>
          <w:szCs w:val="24"/>
        </w:rPr>
        <w:t xml:space="preserve"> </w:t>
      </w:r>
      <w:r w:rsidRPr="001F5812">
        <w:rPr>
          <w:rFonts w:asciiTheme="minorHAnsi" w:hAnsiTheme="minorHAnsi" w:cstheme="minorHAnsi"/>
          <w:i w:val="0"/>
          <w:color w:val="auto"/>
          <w:szCs w:val="24"/>
        </w:rPr>
        <w:t>At the time of waiver redesign, individuals and families were told that their Supports Intensity Scale (SIS) would not be used to determine the type and amount of services for which they would be eligible, e.g., service caps.</w:t>
      </w:r>
      <w:r w:rsidR="00DF551D" w:rsidRPr="001F5812">
        <w:rPr>
          <w:rFonts w:asciiTheme="minorHAnsi" w:hAnsiTheme="minorHAnsi" w:cstheme="minorHAnsi"/>
          <w:i w:val="0"/>
          <w:color w:val="auto"/>
          <w:szCs w:val="24"/>
        </w:rPr>
        <w:t xml:space="preserve"> </w:t>
      </w:r>
      <w:r w:rsidR="00A41FCB" w:rsidRPr="001F5812">
        <w:rPr>
          <w:rFonts w:asciiTheme="minorHAnsi" w:hAnsiTheme="minorHAnsi" w:cstheme="minorHAnsi"/>
          <w:i w:val="0"/>
          <w:color w:val="auto"/>
          <w:szCs w:val="24"/>
        </w:rPr>
        <w:t>This position</w:t>
      </w:r>
      <w:r w:rsidR="00C354EF" w:rsidRPr="001F5812">
        <w:rPr>
          <w:rFonts w:asciiTheme="minorHAnsi" w:hAnsiTheme="minorHAnsi" w:cstheme="minorHAnsi"/>
          <w:i w:val="0"/>
          <w:color w:val="auto"/>
          <w:szCs w:val="24"/>
        </w:rPr>
        <w:t xml:space="preserve"> was reversed by DBHDS</w:t>
      </w:r>
      <w:r w:rsidR="001E1CDC" w:rsidRPr="001F5812">
        <w:rPr>
          <w:rFonts w:asciiTheme="minorHAnsi" w:hAnsiTheme="minorHAnsi" w:cstheme="minorHAnsi"/>
          <w:i w:val="0"/>
          <w:color w:val="auto"/>
          <w:szCs w:val="24"/>
        </w:rPr>
        <w:t>,</w:t>
      </w:r>
      <w:r w:rsidR="00C354EF" w:rsidRPr="001F5812">
        <w:rPr>
          <w:rFonts w:asciiTheme="minorHAnsi" w:hAnsiTheme="minorHAnsi" w:cstheme="minorHAnsi"/>
          <w:i w:val="0"/>
          <w:color w:val="auto"/>
          <w:szCs w:val="24"/>
        </w:rPr>
        <w:t xml:space="preserve"> </w:t>
      </w:r>
      <w:r w:rsidR="00A41FCB" w:rsidRPr="001F5812">
        <w:rPr>
          <w:rFonts w:asciiTheme="minorHAnsi" w:hAnsiTheme="minorHAnsi" w:cstheme="minorHAnsi"/>
          <w:i w:val="0"/>
          <w:color w:val="auto"/>
          <w:szCs w:val="24"/>
        </w:rPr>
        <w:t>and the SIS, along with other factors, w</w:t>
      </w:r>
      <w:r w:rsidR="00C354EF" w:rsidRPr="001F5812">
        <w:rPr>
          <w:rFonts w:asciiTheme="minorHAnsi" w:hAnsiTheme="minorHAnsi" w:cstheme="minorHAnsi"/>
          <w:i w:val="0"/>
          <w:color w:val="auto"/>
          <w:szCs w:val="24"/>
        </w:rPr>
        <w:t xml:space="preserve">ere clearly going to be </w:t>
      </w:r>
      <w:r w:rsidR="00A41FCB" w:rsidRPr="001F5812">
        <w:rPr>
          <w:rFonts w:asciiTheme="minorHAnsi" w:hAnsiTheme="minorHAnsi" w:cstheme="minorHAnsi"/>
          <w:i w:val="0"/>
          <w:color w:val="auto"/>
          <w:szCs w:val="24"/>
        </w:rPr>
        <w:t>utilized for budgetary decisions.</w:t>
      </w:r>
      <w:r w:rsidR="00DF551D" w:rsidRPr="001F5812">
        <w:rPr>
          <w:rFonts w:asciiTheme="minorHAnsi" w:hAnsiTheme="minorHAnsi" w:cstheme="minorHAnsi"/>
          <w:i w:val="0"/>
          <w:color w:val="auto"/>
          <w:szCs w:val="24"/>
        </w:rPr>
        <w:t xml:space="preserve"> </w:t>
      </w:r>
      <w:r w:rsidR="00A41FCB" w:rsidRPr="001F5812">
        <w:rPr>
          <w:rFonts w:asciiTheme="minorHAnsi" w:hAnsiTheme="minorHAnsi" w:cstheme="minorHAnsi"/>
          <w:i w:val="0"/>
          <w:color w:val="auto"/>
          <w:szCs w:val="24"/>
        </w:rPr>
        <w:t>The application states:</w:t>
      </w:r>
      <w:r w:rsidR="00DF551D" w:rsidRPr="001F5812">
        <w:rPr>
          <w:rFonts w:asciiTheme="minorHAnsi" w:hAnsiTheme="minorHAnsi" w:cstheme="minorHAnsi"/>
          <w:i w:val="0"/>
          <w:color w:val="auto"/>
          <w:szCs w:val="24"/>
        </w:rPr>
        <w:t xml:space="preserve"> </w:t>
      </w:r>
      <w:r w:rsidR="00A41FCB" w:rsidRPr="001F5812">
        <w:rPr>
          <w:rFonts w:asciiTheme="minorHAnsi" w:hAnsiTheme="minorHAnsi" w:cstheme="minorHAnsi"/>
          <w:i w:val="0"/>
          <w:color w:val="auto"/>
          <w:szCs w:val="24"/>
        </w:rPr>
        <w:t>“</w:t>
      </w:r>
      <w:r w:rsidR="00A41FCB" w:rsidRPr="001F5812">
        <w:rPr>
          <w:rFonts w:asciiTheme="minorHAnsi" w:hAnsiTheme="minorHAnsi" w:cstheme="minorHAnsi"/>
          <w:color w:val="auto"/>
        </w:rPr>
        <w:t xml:space="preserve">The Commonwealth does not intend for the supports packages limits to be “hard caps” for individuals, but guidelines for case managers to use to facilitate critical conversations with individuals, their families and providers about the </w:t>
      </w:r>
      <w:r w:rsidR="00A41FCB" w:rsidRPr="001F5812">
        <w:rPr>
          <w:rFonts w:asciiTheme="minorHAnsi" w:hAnsiTheme="minorHAnsi" w:cstheme="minorHAnsi"/>
          <w:color w:val="auto"/>
        </w:rPr>
        <w:lastRenderedPageBreak/>
        <w:t xml:space="preserve">typical support needs and related services for individuals of similar support needs levels” </w:t>
      </w:r>
      <w:r w:rsidR="00310CE8" w:rsidRPr="001F5812">
        <w:rPr>
          <w:rFonts w:asciiTheme="minorHAnsi" w:hAnsiTheme="minorHAnsi" w:cstheme="minorHAnsi"/>
          <w:i w:val="0"/>
          <w:color w:val="auto"/>
          <w:szCs w:val="24"/>
        </w:rPr>
        <w:t>DBHDS has made it clear that caps, with an exceptions process, are the ultimate goal, just not at the current time.</w:t>
      </w:r>
      <w:r w:rsidR="00DF551D" w:rsidRPr="001F5812">
        <w:rPr>
          <w:rFonts w:asciiTheme="minorHAnsi" w:hAnsiTheme="minorHAnsi" w:cstheme="minorHAnsi"/>
          <w:i w:val="0"/>
          <w:color w:val="auto"/>
          <w:szCs w:val="24"/>
        </w:rPr>
        <w:t xml:space="preserve"> </w:t>
      </w:r>
    </w:p>
    <w:p w14:paraId="220A5C1E" w14:textId="28DDA593" w:rsidR="00B75648" w:rsidRPr="001F5812" w:rsidRDefault="0085187E" w:rsidP="002D6550">
      <w:pPr>
        <w:spacing w:after="240" w:line="240" w:lineRule="auto"/>
        <w:ind w:left="360"/>
        <w:rPr>
          <w:rFonts w:asciiTheme="minorHAnsi" w:hAnsiTheme="minorHAnsi" w:cstheme="minorHAnsi"/>
          <w:i w:val="0"/>
          <w:color w:val="auto"/>
          <w:szCs w:val="24"/>
        </w:rPr>
      </w:pPr>
      <w:r w:rsidRPr="001F5812">
        <w:rPr>
          <w:rFonts w:asciiTheme="minorHAnsi" w:hAnsiTheme="minorHAnsi" w:cstheme="minorHAnsi"/>
          <w:i w:val="0"/>
          <w:color w:val="auto"/>
          <w:szCs w:val="24"/>
        </w:rPr>
        <w:t xml:space="preserve">The Board was pleased that the Commonwealth delayed implementation of the service packages during the first two years of redesign in order to obtain data on new services, along with modified rates for those services. However, due to underutilization of the new services, resulting from a lack of provider capacity/inability </w:t>
      </w:r>
      <w:r w:rsidR="004C1B64" w:rsidRPr="001F5812">
        <w:rPr>
          <w:rFonts w:asciiTheme="minorHAnsi" w:hAnsiTheme="minorHAnsi" w:cstheme="minorHAnsi"/>
          <w:i w:val="0"/>
          <w:color w:val="auto"/>
          <w:szCs w:val="24"/>
        </w:rPr>
        <w:t xml:space="preserve">of </w:t>
      </w:r>
      <w:r w:rsidRPr="001F5812">
        <w:rPr>
          <w:rFonts w:asciiTheme="minorHAnsi" w:hAnsiTheme="minorHAnsi" w:cstheme="minorHAnsi"/>
          <w:i w:val="0"/>
          <w:color w:val="auto"/>
          <w:szCs w:val="24"/>
        </w:rPr>
        <w:t>individuals to find providers, provider concerns regarding certain services (shared living)</w:t>
      </w:r>
      <w:r w:rsidR="004C1B64" w:rsidRPr="001F5812">
        <w:rPr>
          <w:rFonts w:asciiTheme="minorHAnsi" w:hAnsiTheme="minorHAnsi" w:cstheme="minorHAnsi"/>
          <w:i w:val="0"/>
          <w:color w:val="auto"/>
          <w:szCs w:val="24"/>
        </w:rPr>
        <w:t>,</w:t>
      </w:r>
      <w:r w:rsidRPr="001F5812">
        <w:rPr>
          <w:rFonts w:asciiTheme="minorHAnsi" w:hAnsiTheme="minorHAnsi" w:cstheme="minorHAnsi"/>
          <w:i w:val="0"/>
          <w:color w:val="auto"/>
          <w:szCs w:val="24"/>
        </w:rPr>
        <w:t xml:space="preserve"> and the delay of additional services beyond the timeframe originally antic</w:t>
      </w:r>
      <w:r w:rsidR="00DF1163" w:rsidRPr="001F5812">
        <w:rPr>
          <w:rFonts w:asciiTheme="minorHAnsi" w:hAnsiTheme="minorHAnsi" w:cstheme="minorHAnsi"/>
          <w:i w:val="0"/>
          <w:color w:val="auto"/>
          <w:szCs w:val="24"/>
        </w:rPr>
        <w:t>ipated (benefits planning, non-</w:t>
      </w:r>
      <w:r w:rsidRPr="001F5812">
        <w:rPr>
          <w:rFonts w:asciiTheme="minorHAnsi" w:hAnsiTheme="minorHAnsi" w:cstheme="minorHAnsi"/>
          <w:i w:val="0"/>
          <w:color w:val="auto"/>
          <w:szCs w:val="24"/>
        </w:rPr>
        <w:t>medical transportation), valid predictive data remain unavailable.</w:t>
      </w:r>
      <w:r w:rsidR="00DF551D" w:rsidRPr="001F5812">
        <w:rPr>
          <w:rFonts w:asciiTheme="minorHAnsi" w:hAnsiTheme="minorHAnsi" w:cstheme="minorHAnsi"/>
          <w:i w:val="0"/>
          <w:color w:val="auto"/>
          <w:szCs w:val="24"/>
        </w:rPr>
        <w:t xml:space="preserve"> </w:t>
      </w:r>
      <w:r w:rsidRPr="001F5812">
        <w:rPr>
          <w:rFonts w:asciiTheme="minorHAnsi" w:hAnsiTheme="minorHAnsi" w:cstheme="minorHAnsi"/>
          <w:i w:val="0"/>
          <w:color w:val="auto"/>
          <w:szCs w:val="24"/>
        </w:rPr>
        <w:t>Service usage over the last two years can therefore not be used to predict service usage over the next two to three years.</w:t>
      </w:r>
      <w:r w:rsidR="00DF551D" w:rsidRPr="001F5812">
        <w:rPr>
          <w:rFonts w:asciiTheme="minorHAnsi" w:hAnsiTheme="minorHAnsi" w:cstheme="minorHAnsi"/>
          <w:i w:val="0"/>
          <w:color w:val="auto"/>
          <w:szCs w:val="24"/>
        </w:rPr>
        <w:t xml:space="preserve"> </w:t>
      </w:r>
    </w:p>
    <w:p w14:paraId="7D34CABC" w14:textId="114B0D84" w:rsidR="0085187E" w:rsidRPr="001F5812" w:rsidRDefault="00A41FCB" w:rsidP="002D6550">
      <w:pPr>
        <w:spacing w:after="240" w:line="240" w:lineRule="auto"/>
        <w:ind w:left="360"/>
        <w:rPr>
          <w:rFonts w:asciiTheme="minorHAnsi" w:hAnsiTheme="minorHAnsi" w:cstheme="minorHAnsi"/>
          <w:i w:val="0"/>
          <w:color w:val="auto"/>
          <w:szCs w:val="24"/>
        </w:rPr>
      </w:pPr>
      <w:r w:rsidRPr="001F5812">
        <w:rPr>
          <w:rFonts w:asciiTheme="minorHAnsi" w:hAnsiTheme="minorHAnsi" w:cstheme="minorHAnsi"/>
          <w:i w:val="0"/>
          <w:color w:val="auto"/>
          <w:szCs w:val="24"/>
        </w:rPr>
        <w:t>Further</w:t>
      </w:r>
      <w:r w:rsidR="004C1B64" w:rsidRPr="001F5812">
        <w:rPr>
          <w:rFonts w:asciiTheme="minorHAnsi" w:hAnsiTheme="minorHAnsi" w:cstheme="minorHAnsi"/>
          <w:i w:val="0"/>
          <w:color w:val="auto"/>
          <w:szCs w:val="24"/>
        </w:rPr>
        <w:t>more,</w:t>
      </w:r>
      <w:r w:rsidRPr="001F5812">
        <w:rPr>
          <w:rFonts w:asciiTheme="minorHAnsi" w:hAnsiTheme="minorHAnsi" w:cstheme="minorHAnsi"/>
          <w:i w:val="0"/>
          <w:color w:val="auto"/>
          <w:szCs w:val="24"/>
        </w:rPr>
        <w:t xml:space="preserve"> it should be noted that in presentations regarding service packages, data have been presented that show that </w:t>
      </w:r>
      <w:r w:rsidR="004C1B64" w:rsidRPr="001F5812">
        <w:rPr>
          <w:rFonts w:asciiTheme="minorHAnsi" w:hAnsiTheme="minorHAnsi" w:cstheme="minorHAnsi"/>
          <w:i w:val="0"/>
          <w:color w:val="auto"/>
          <w:szCs w:val="24"/>
        </w:rPr>
        <w:t xml:space="preserve">about 10 percent of individuals are </w:t>
      </w:r>
      <w:r w:rsidRPr="001F5812">
        <w:rPr>
          <w:rFonts w:asciiTheme="minorHAnsi" w:hAnsiTheme="minorHAnsi" w:cstheme="minorHAnsi"/>
          <w:i w:val="0"/>
          <w:color w:val="auto"/>
          <w:szCs w:val="24"/>
        </w:rPr>
        <w:t>outliers (those above or beneath the anticipated caps for each package).</w:t>
      </w:r>
      <w:r w:rsidR="007C7817" w:rsidRPr="001F5812">
        <w:rPr>
          <w:rFonts w:asciiTheme="minorHAnsi" w:hAnsiTheme="minorHAnsi" w:cstheme="minorHAnsi"/>
          <w:i w:val="0"/>
          <w:color w:val="auto"/>
          <w:szCs w:val="24"/>
        </w:rPr>
        <w:t xml:space="preserve"> </w:t>
      </w:r>
      <w:r w:rsidRPr="001F5812">
        <w:rPr>
          <w:rFonts w:asciiTheme="minorHAnsi" w:hAnsiTheme="minorHAnsi" w:cstheme="minorHAnsi"/>
          <w:i w:val="0"/>
          <w:color w:val="auto"/>
          <w:szCs w:val="24"/>
        </w:rPr>
        <w:t xml:space="preserve">Developing a complex, bureaucratic process </w:t>
      </w:r>
      <w:r w:rsidR="004C1B64" w:rsidRPr="001F5812">
        <w:rPr>
          <w:rFonts w:asciiTheme="minorHAnsi" w:hAnsiTheme="minorHAnsi" w:cstheme="minorHAnsi"/>
          <w:i w:val="0"/>
          <w:color w:val="auto"/>
          <w:szCs w:val="24"/>
        </w:rPr>
        <w:t>to address such a</w:t>
      </w:r>
      <w:r w:rsidRPr="001F5812">
        <w:rPr>
          <w:rFonts w:asciiTheme="minorHAnsi" w:hAnsiTheme="minorHAnsi" w:cstheme="minorHAnsi"/>
          <w:i w:val="0"/>
          <w:color w:val="auto"/>
          <w:szCs w:val="24"/>
        </w:rPr>
        <w:t xml:space="preserve"> small number </w:t>
      </w:r>
      <w:r w:rsidR="004C1B64" w:rsidRPr="001F5812">
        <w:rPr>
          <w:rFonts w:asciiTheme="minorHAnsi" w:hAnsiTheme="minorHAnsi" w:cstheme="minorHAnsi"/>
          <w:i w:val="0"/>
          <w:color w:val="auto"/>
          <w:szCs w:val="24"/>
        </w:rPr>
        <w:t>of outliers is</w:t>
      </w:r>
      <w:r w:rsidRPr="001F5812">
        <w:rPr>
          <w:rFonts w:asciiTheme="minorHAnsi" w:hAnsiTheme="minorHAnsi" w:cstheme="minorHAnsi"/>
          <w:i w:val="0"/>
          <w:color w:val="auto"/>
          <w:szCs w:val="24"/>
        </w:rPr>
        <w:t xml:space="preserve"> an imprudent use of resources and </w:t>
      </w:r>
      <w:r w:rsidR="004C1B64" w:rsidRPr="001F5812">
        <w:rPr>
          <w:rFonts w:asciiTheme="minorHAnsi" w:hAnsiTheme="minorHAnsi" w:cstheme="minorHAnsi"/>
          <w:i w:val="0"/>
          <w:color w:val="auto"/>
          <w:szCs w:val="24"/>
        </w:rPr>
        <w:t xml:space="preserve">will be </w:t>
      </w:r>
      <w:r w:rsidRPr="001F5812">
        <w:rPr>
          <w:rFonts w:asciiTheme="minorHAnsi" w:hAnsiTheme="minorHAnsi" w:cstheme="minorHAnsi"/>
          <w:i w:val="0"/>
          <w:color w:val="auto"/>
          <w:szCs w:val="24"/>
        </w:rPr>
        <w:t>unnecessarily intrusive for consumers and families.</w:t>
      </w:r>
    </w:p>
    <w:p w14:paraId="18128D8B" w14:textId="7913C1B9" w:rsidR="0085187E" w:rsidRPr="001F5812" w:rsidRDefault="0085187E" w:rsidP="002D6550">
      <w:pPr>
        <w:spacing w:after="240" w:line="240" w:lineRule="auto"/>
        <w:ind w:left="360"/>
        <w:rPr>
          <w:rFonts w:asciiTheme="minorHAnsi" w:hAnsiTheme="minorHAnsi" w:cstheme="minorHAnsi"/>
          <w:i w:val="0"/>
          <w:color w:val="auto"/>
          <w:szCs w:val="24"/>
        </w:rPr>
      </w:pPr>
      <w:r w:rsidRPr="001F5812">
        <w:rPr>
          <w:rFonts w:asciiTheme="minorHAnsi" w:hAnsiTheme="minorHAnsi" w:cstheme="minorHAnsi"/>
          <w:i w:val="0"/>
          <w:color w:val="auto"/>
          <w:szCs w:val="24"/>
        </w:rPr>
        <w:t xml:space="preserve">In light of </w:t>
      </w:r>
      <w:r w:rsidR="00C354EF" w:rsidRPr="001F5812">
        <w:rPr>
          <w:rFonts w:asciiTheme="minorHAnsi" w:hAnsiTheme="minorHAnsi" w:cstheme="minorHAnsi"/>
          <w:i w:val="0"/>
          <w:color w:val="auto"/>
          <w:szCs w:val="24"/>
        </w:rPr>
        <w:t>General Assembly action and factors noted above</w:t>
      </w:r>
      <w:r w:rsidRPr="001F5812">
        <w:rPr>
          <w:rFonts w:asciiTheme="minorHAnsi" w:hAnsiTheme="minorHAnsi" w:cstheme="minorHAnsi"/>
          <w:i w:val="0"/>
          <w:color w:val="auto"/>
          <w:szCs w:val="24"/>
        </w:rPr>
        <w:t>, the Board recommends that service packages be removed from the application and</w:t>
      </w:r>
      <w:r w:rsidR="004B522D" w:rsidRPr="001F5812">
        <w:rPr>
          <w:rFonts w:asciiTheme="minorHAnsi" w:hAnsiTheme="minorHAnsi" w:cstheme="minorHAnsi"/>
          <w:i w:val="0"/>
          <w:color w:val="auto"/>
          <w:szCs w:val="24"/>
        </w:rPr>
        <w:t>,</w:t>
      </w:r>
      <w:r w:rsidRPr="001F5812">
        <w:rPr>
          <w:rFonts w:asciiTheme="minorHAnsi" w:hAnsiTheme="minorHAnsi" w:cstheme="minorHAnsi"/>
          <w:i w:val="0"/>
          <w:color w:val="auto"/>
          <w:szCs w:val="24"/>
        </w:rPr>
        <w:t xml:space="preserve"> should the General Assembly approve their implementation, an amendment to the application be submitted at that time.</w:t>
      </w:r>
      <w:r w:rsidR="007C7817" w:rsidRPr="001F5812">
        <w:rPr>
          <w:rFonts w:asciiTheme="minorHAnsi" w:hAnsiTheme="minorHAnsi" w:cstheme="minorHAnsi"/>
          <w:i w:val="0"/>
          <w:color w:val="auto"/>
          <w:szCs w:val="24"/>
        </w:rPr>
        <w:t xml:space="preserve"> </w:t>
      </w:r>
      <w:r w:rsidR="004C1B64" w:rsidRPr="001F5812">
        <w:rPr>
          <w:rFonts w:asciiTheme="minorHAnsi" w:hAnsiTheme="minorHAnsi" w:cstheme="minorHAnsi"/>
          <w:i w:val="0"/>
          <w:color w:val="auto"/>
          <w:szCs w:val="24"/>
        </w:rPr>
        <w:t xml:space="preserve">In </w:t>
      </w:r>
      <w:r w:rsidRPr="001F5812">
        <w:rPr>
          <w:rFonts w:asciiTheme="minorHAnsi" w:hAnsiTheme="minorHAnsi" w:cstheme="minorHAnsi"/>
          <w:i w:val="0"/>
          <w:color w:val="auto"/>
          <w:szCs w:val="24"/>
        </w:rPr>
        <w:t>the interim, the Commonwealth should</w:t>
      </w:r>
      <w:r w:rsidR="00A41FCB" w:rsidRPr="001F5812">
        <w:rPr>
          <w:rFonts w:asciiTheme="minorHAnsi" w:hAnsiTheme="minorHAnsi" w:cstheme="minorHAnsi"/>
          <w:i w:val="0"/>
          <w:color w:val="auto"/>
          <w:szCs w:val="24"/>
        </w:rPr>
        <w:t xml:space="preserve"> evaluate how the packages </w:t>
      </w:r>
      <w:r w:rsidR="00C354EF" w:rsidRPr="001F5812">
        <w:rPr>
          <w:rFonts w:asciiTheme="minorHAnsi" w:hAnsiTheme="minorHAnsi" w:cstheme="minorHAnsi"/>
          <w:i w:val="0"/>
          <w:color w:val="auto"/>
          <w:szCs w:val="24"/>
        </w:rPr>
        <w:t>would be utilized and their resulting impact i</w:t>
      </w:r>
      <w:r w:rsidR="00A41FCB" w:rsidRPr="001F5812">
        <w:rPr>
          <w:rFonts w:asciiTheme="minorHAnsi" w:hAnsiTheme="minorHAnsi" w:cstheme="minorHAnsi"/>
          <w:i w:val="0"/>
          <w:color w:val="auto"/>
          <w:szCs w:val="24"/>
        </w:rPr>
        <w:t>n a transparent manner and provide additional opportunities for stakeholders to comment as to their potential impact.</w:t>
      </w:r>
    </w:p>
    <w:p w14:paraId="49A20709" w14:textId="36F30807" w:rsidR="008E5B2F" w:rsidRPr="001F5812" w:rsidRDefault="008E5B2F" w:rsidP="000B0FA4">
      <w:pPr>
        <w:spacing w:after="0" w:line="240" w:lineRule="auto"/>
        <w:outlineLvl w:val="1"/>
        <w:rPr>
          <w:rFonts w:asciiTheme="minorHAnsi" w:hAnsiTheme="minorHAnsi" w:cstheme="minorHAnsi"/>
          <w:i w:val="0"/>
          <w:color w:val="auto"/>
          <w:szCs w:val="24"/>
          <w:u w:val="single"/>
        </w:rPr>
      </w:pPr>
      <w:r w:rsidRPr="001F5812">
        <w:rPr>
          <w:rFonts w:asciiTheme="minorHAnsi" w:hAnsiTheme="minorHAnsi" w:cstheme="minorHAnsi"/>
          <w:b/>
          <w:i w:val="0"/>
          <w:color w:val="auto"/>
          <w:szCs w:val="24"/>
          <w:u w:val="single"/>
        </w:rPr>
        <w:t>Appendix C</w:t>
      </w:r>
      <w:r w:rsidR="00DB4C65" w:rsidRPr="001F5812">
        <w:rPr>
          <w:rFonts w:asciiTheme="minorHAnsi" w:hAnsiTheme="minorHAnsi" w:cstheme="minorHAnsi"/>
          <w:b/>
          <w:i w:val="0"/>
          <w:color w:val="auto"/>
          <w:szCs w:val="24"/>
          <w:u w:val="single"/>
        </w:rPr>
        <w:t>:</w:t>
      </w:r>
      <w:r w:rsidRPr="001F5812">
        <w:rPr>
          <w:rFonts w:asciiTheme="minorHAnsi" w:hAnsiTheme="minorHAnsi" w:cstheme="minorHAnsi"/>
          <w:b/>
          <w:i w:val="0"/>
          <w:color w:val="auto"/>
          <w:szCs w:val="24"/>
          <w:u w:val="single"/>
        </w:rPr>
        <w:t xml:space="preserve"> Participant Services</w:t>
      </w:r>
      <w:r w:rsidR="007B7994" w:rsidRPr="001F5812">
        <w:rPr>
          <w:rFonts w:asciiTheme="minorHAnsi" w:hAnsiTheme="minorHAnsi" w:cstheme="minorHAnsi"/>
          <w:b/>
          <w:i w:val="0"/>
          <w:color w:val="auto"/>
          <w:szCs w:val="24"/>
          <w:u w:val="single"/>
        </w:rPr>
        <w:t xml:space="preserve"> </w:t>
      </w:r>
      <w:r w:rsidR="00DB4C65" w:rsidRPr="001F5812">
        <w:rPr>
          <w:rFonts w:asciiTheme="minorHAnsi" w:hAnsiTheme="minorHAnsi" w:cstheme="minorHAnsi"/>
          <w:b/>
          <w:i w:val="0"/>
          <w:color w:val="auto"/>
          <w:szCs w:val="24"/>
          <w:u w:val="single"/>
        </w:rPr>
        <w:t>-</w:t>
      </w:r>
      <w:r w:rsidRPr="001F5812">
        <w:rPr>
          <w:rFonts w:asciiTheme="minorHAnsi" w:hAnsiTheme="minorHAnsi" w:cstheme="minorHAnsi"/>
          <w:b/>
          <w:i w:val="0"/>
          <w:color w:val="auto"/>
          <w:szCs w:val="24"/>
          <w:u w:val="single"/>
        </w:rPr>
        <w:t xml:space="preserve"> Quality Improvement: Qualified Providers</w:t>
      </w:r>
    </w:p>
    <w:p w14:paraId="451E8A9D" w14:textId="77777777" w:rsidR="008E5B2F" w:rsidRPr="001F5812" w:rsidRDefault="008E5B2F" w:rsidP="00B56862">
      <w:pPr>
        <w:spacing w:after="0" w:line="240" w:lineRule="auto"/>
        <w:ind w:left="-90"/>
        <w:rPr>
          <w:rFonts w:asciiTheme="minorHAnsi" w:hAnsiTheme="minorHAnsi" w:cstheme="minorHAnsi"/>
          <w:i w:val="0"/>
          <w:color w:val="auto"/>
          <w:szCs w:val="24"/>
        </w:rPr>
      </w:pPr>
    </w:p>
    <w:p w14:paraId="1D7B824B" w14:textId="2812BAB1" w:rsidR="00630418" w:rsidRPr="001F5812" w:rsidRDefault="00630418" w:rsidP="00B56862">
      <w:pPr>
        <w:pStyle w:val="ListParagraph"/>
        <w:numPr>
          <w:ilvl w:val="0"/>
          <w:numId w:val="28"/>
        </w:numPr>
        <w:spacing w:after="240" w:line="240" w:lineRule="auto"/>
        <w:rPr>
          <w:rFonts w:asciiTheme="minorHAnsi" w:hAnsiTheme="minorHAnsi" w:cstheme="minorHAnsi"/>
          <w:b/>
          <w:i w:val="0"/>
          <w:color w:val="auto"/>
          <w:szCs w:val="24"/>
        </w:rPr>
      </w:pPr>
      <w:r w:rsidRPr="001F5812">
        <w:rPr>
          <w:rFonts w:asciiTheme="minorHAnsi" w:hAnsiTheme="minorHAnsi" w:cstheme="minorHAnsi"/>
          <w:b/>
          <w:i w:val="0"/>
          <w:color w:val="auto"/>
          <w:szCs w:val="24"/>
        </w:rPr>
        <w:t xml:space="preserve">The Board appreciates that the draft DD Waiver regulations </w:t>
      </w:r>
      <w:r w:rsidR="00001DAF" w:rsidRPr="001F5812">
        <w:rPr>
          <w:rFonts w:asciiTheme="minorHAnsi" w:hAnsiTheme="minorHAnsi" w:cstheme="minorHAnsi"/>
          <w:b/>
          <w:i w:val="0"/>
          <w:color w:val="auto"/>
          <w:szCs w:val="24"/>
        </w:rPr>
        <w:t xml:space="preserve">require </w:t>
      </w:r>
      <w:r w:rsidRPr="001F5812">
        <w:rPr>
          <w:rFonts w:asciiTheme="minorHAnsi" w:hAnsiTheme="minorHAnsi" w:cstheme="minorHAnsi"/>
          <w:b/>
          <w:i w:val="0"/>
          <w:color w:val="auto"/>
          <w:szCs w:val="24"/>
        </w:rPr>
        <w:t>that providers participate in mandatory technical assistance and training when systemic problems are identified.</w:t>
      </w:r>
      <w:r w:rsidR="007C7817" w:rsidRPr="001F5812">
        <w:rPr>
          <w:rFonts w:asciiTheme="minorHAnsi" w:hAnsiTheme="minorHAnsi" w:cstheme="minorHAnsi"/>
          <w:b/>
          <w:i w:val="0"/>
          <w:color w:val="auto"/>
          <w:szCs w:val="24"/>
        </w:rPr>
        <w:t xml:space="preserve"> </w:t>
      </w:r>
      <w:r w:rsidRPr="001F5812">
        <w:rPr>
          <w:rFonts w:asciiTheme="minorHAnsi" w:hAnsiTheme="minorHAnsi" w:cstheme="minorHAnsi"/>
          <w:b/>
          <w:i w:val="0"/>
          <w:color w:val="auto"/>
          <w:szCs w:val="24"/>
        </w:rPr>
        <w:t xml:space="preserve">We support the provision that a failure to complete mandatory training or identified technical assistance may result in a referral to DMAS Provider </w:t>
      </w:r>
      <w:r w:rsidR="00001DAF" w:rsidRPr="001F5812">
        <w:rPr>
          <w:rFonts w:asciiTheme="minorHAnsi" w:hAnsiTheme="minorHAnsi" w:cstheme="minorHAnsi"/>
          <w:b/>
          <w:i w:val="0"/>
          <w:color w:val="auto"/>
          <w:szCs w:val="24"/>
        </w:rPr>
        <w:t xml:space="preserve">Integrity </w:t>
      </w:r>
      <w:r w:rsidRPr="001F5812">
        <w:rPr>
          <w:rFonts w:asciiTheme="minorHAnsi" w:hAnsiTheme="minorHAnsi" w:cstheme="minorHAnsi"/>
          <w:b/>
          <w:i w:val="0"/>
          <w:color w:val="auto"/>
          <w:szCs w:val="24"/>
        </w:rPr>
        <w:t>or termination of the provider’s Medicaid participation agreement. We recommend changing the “may” to “shall” with respect to referral to the Provider integrity Unit.</w:t>
      </w:r>
    </w:p>
    <w:p w14:paraId="34B56200" w14:textId="376761D8" w:rsidR="005E6BC4" w:rsidRPr="001F5812" w:rsidRDefault="008E5B2F" w:rsidP="002D6550">
      <w:pPr>
        <w:spacing w:after="240" w:line="240" w:lineRule="auto"/>
        <w:ind w:left="360"/>
        <w:rPr>
          <w:rFonts w:asciiTheme="minorHAnsi" w:hAnsiTheme="minorHAnsi" w:cstheme="minorHAnsi"/>
          <w:i w:val="0"/>
          <w:color w:val="auto"/>
          <w:szCs w:val="24"/>
        </w:rPr>
      </w:pPr>
      <w:r w:rsidRPr="001F5812">
        <w:rPr>
          <w:rFonts w:asciiTheme="minorHAnsi" w:hAnsiTheme="minorHAnsi" w:cstheme="minorHAnsi"/>
          <w:i w:val="0"/>
          <w:color w:val="auto"/>
          <w:szCs w:val="24"/>
        </w:rPr>
        <w:t>With waiver redesign, provider capacity building has necessarily been a priority and will continue to be a priority in order for waiver recipients to have access to services in their ISP.</w:t>
      </w:r>
      <w:r w:rsidR="007C7817" w:rsidRPr="001F5812">
        <w:rPr>
          <w:rFonts w:asciiTheme="minorHAnsi" w:hAnsiTheme="minorHAnsi" w:cstheme="minorHAnsi"/>
          <w:i w:val="0"/>
          <w:color w:val="auto"/>
          <w:szCs w:val="24"/>
        </w:rPr>
        <w:t xml:space="preserve"> </w:t>
      </w:r>
      <w:r w:rsidRPr="001F5812">
        <w:rPr>
          <w:rFonts w:asciiTheme="minorHAnsi" w:hAnsiTheme="minorHAnsi" w:cstheme="minorHAnsi"/>
          <w:i w:val="0"/>
          <w:color w:val="auto"/>
          <w:szCs w:val="24"/>
        </w:rPr>
        <w:t>The growth in providers, however, can lead to an increase in unqualified providers or those who do not adhere to the rules and regulations governing their practice.</w:t>
      </w:r>
      <w:r w:rsidR="007C7817" w:rsidRPr="001F5812">
        <w:rPr>
          <w:rFonts w:asciiTheme="minorHAnsi" w:hAnsiTheme="minorHAnsi" w:cstheme="minorHAnsi"/>
          <w:i w:val="0"/>
          <w:color w:val="auto"/>
          <w:szCs w:val="24"/>
        </w:rPr>
        <w:t xml:space="preserve"> </w:t>
      </w:r>
    </w:p>
    <w:p w14:paraId="40CFFAB4" w14:textId="5F84CD10" w:rsidR="008E5B2F" w:rsidRPr="001F5812" w:rsidRDefault="008E5B2F" w:rsidP="002D6550">
      <w:pPr>
        <w:spacing w:after="240" w:line="240" w:lineRule="auto"/>
        <w:ind w:left="360"/>
        <w:rPr>
          <w:rFonts w:asciiTheme="minorHAnsi" w:hAnsiTheme="minorHAnsi" w:cstheme="minorHAnsi"/>
          <w:i w:val="0"/>
          <w:color w:val="auto"/>
          <w:szCs w:val="24"/>
        </w:rPr>
      </w:pPr>
      <w:r w:rsidRPr="001F5812">
        <w:rPr>
          <w:rFonts w:asciiTheme="minorHAnsi" w:hAnsiTheme="minorHAnsi" w:cstheme="minorHAnsi"/>
          <w:i w:val="0"/>
          <w:color w:val="auto"/>
          <w:szCs w:val="24"/>
        </w:rPr>
        <w:t>Poor quality providers are a risk to the health, safety, and welfare of waiver recipients.</w:t>
      </w:r>
      <w:r w:rsidR="007C7817" w:rsidRPr="001F5812">
        <w:rPr>
          <w:rFonts w:asciiTheme="minorHAnsi" w:hAnsiTheme="minorHAnsi" w:cstheme="minorHAnsi"/>
          <w:i w:val="0"/>
          <w:color w:val="auto"/>
          <w:szCs w:val="24"/>
        </w:rPr>
        <w:t xml:space="preserve"> </w:t>
      </w:r>
      <w:r w:rsidRPr="001F5812">
        <w:rPr>
          <w:rFonts w:asciiTheme="minorHAnsi" w:hAnsiTheme="minorHAnsi" w:cstheme="minorHAnsi"/>
          <w:i w:val="0"/>
          <w:color w:val="auto"/>
          <w:szCs w:val="24"/>
        </w:rPr>
        <w:t xml:space="preserve">The Commonwealth has historically been averse to pulling provider licenses and ending participation agreements. In order to have a system of quality providers, there must be consequences for providers who are non-compliant, particularly those who have </w:t>
      </w:r>
      <w:r w:rsidR="00D35838" w:rsidRPr="001F5812">
        <w:rPr>
          <w:rFonts w:asciiTheme="minorHAnsi" w:hAnsiTheme="minorHAnsi" w:cstheme="minorHAnsi"/>
          <w:i w:val="0"/>
          <w:color w:val="auto"/>
          <w:szCs w:val="24"/>
        </w:rPr>
        <w:t xml:space="preserve">repeated </w:t>
      </w:r>
      <w:r w:rsidRPr="001F5812">
        <w:rPr>
          <w:rFonts w:asciiTheme="minorHAnsi" w:hAnsiTheme="minorHAnsi" w:cstheme="minorHAnsi"/>
          <w:i w:val="0"/>
          <w:color w:val="auto"/>
          <w:szCs w:val="24"/>
        </w:rPr>
        <w:t xml:space="preserve">licensing violations or other findings that result in Corrective Action Plans. Providers should </w:t>
      </w:r>
      <w:r w:rsidRPr="001F5812">
        <w:rPr>
          <w:rFonts w:asciiTheme="minorHAnsi" w:hAnsiTheme="minorHAnsi" w:cstheme="minorHAnsi"/>
          <w:i w:val="0"/>
          <w:color w:val="auto"/>
          <w:szCs w:val="24"/>
        </w:rPr>
        <w:lastRenderedPageBreak/>
        <w:t>not be allowed to opt out of technical assistance or other training that would facilitate their improved performance and there should be consequences if they do so.</w:t>
      </w:r>
    </w:p>
    <w:p w14:paraId="3FF18CA7" w14:textId="0FFEA455" w:rsidR="007B1CB9" w:rsidRPr="001F5812" w:rsidRDefault="007B1CB9" w:rsidP="000B0FA4">
      <w:pPr>
        <w:spacing w:after="240" w:line="240" w:lineRule="auto"/>
        <w:outlineLvl w:val="1"/>
        <w:rPr>
          <w:rFonts w:asciiTheme="minorHAnsi" w:hAnsiTheme="minorHAnsi" w:cstheme="minorHAnsi"/>
          <w:b/>
          <w:i w:val="0"/>
          <w:color w:val="auto"/>
          <w:szCs w:val="24"/>
          <w:u w:val="single"/>
        </w:rPr>
      </w:pPr>
      <w:r w:rsidRPr="001F5812">
        <w:rPr>
          <w:rFonts w:asciiTheme="minorHAnsi" w:hAnsiTheme="minorHAnsi" w:cstheme="minorHAnsi"/>
          <w:b/>
          <w:i w:val="0"/>
          <w:color w:val="auto"/>
          <w:szCs w:val="24"/>
          <w:u w:val="single"/>
        </w:rPr>
        <w:t>Appendix D:</w:t>
      </w:r>
      <w:r w:rsidR="007C7817" w:rsidRPr="001F5812">
        <w:rPr>
          <w:rFonts w:asciiTheme="minorHAnsi" w:hAnsiTheme="minorHAnsi" w:cstheme="minorHAnsi"/>
          <w:b/>
          <w:i w:val="0"/>
          <w:color w:val="auto"/>
          <w:szCs w:val="24"/>
          <w:u w:val="single"/>
        </w:rPr>
        <w:t xml:space="preserve"> </w:t>
      </w:r>
      <w:r w:rsidRPr="001F5812">
        <w:rPr>
          <w:rFonts w:asciiTheme="minorHAnsi" w:hAnsiTheme="minorHAnsi" w:cstheme="minorHAnsi"/>
          <w:b/>
          <w:i w:val="0"/>
          <w:color w:val="auto"/>
          <w:szCs w:val="24"/>
          <w:u w:val="single"/>
        </w:rPr>
        <w:t>Participant</w:t>
      </w:r>
      <w:r w:rsidR="007B7994" w:rsidRPr="001F5812">
        <w:rPr>
          <w:rFonts w:asciiTheme="minorHAnsi" w:hAnsiTheme="minorHAnsi" w:cstheme="minorHAnsi"/>
          <w:b/>
          <w:i w:val="0"/>
          <w:color w:val="auto"/>
          <w:szCs w:val="24"/>
          <w:u w:val="single"/>
        </w:rPr>
        <w:t xml:space="preserve"> </w:t>
      </w:r>
      <w:r w:rsidRPr="001F5812">
        <w:rPr>
          <w:rFonts w:asciiTheme="minorHAnsi" w:hAnsiTheme="minorHAnsi" w:cstheme="minorHAnsi"/>
          <w:b/>
          <w:i w:val="0"/>
          <w:color w:val="auto"/>
          <w:szCs w:val="24"/>
          <w:u w:val="single"/>
        </w:rPr>
        <w:t>-</w:t>
      </w:r>
      <w:r w:rsidR="007B7994" w:rsidRPr="001F5812">
        <w:rPr>
          <w:rFonts w:asciiTheme="minorHAnsi" w:hAnsiTheme="minorHAnsi" w:cstheme="minorHAnsi"/>
          <w:b/>
          <w:i w:val="0"/>
          <w:color w:val="auto"/>
          <w:szCs w:val="24"/>
          <w:u w:val="single"/>
        </w:rPr>
        <w:t xml:space="preserve"> </w:t>
      </w:r>
      <w:r w:rsidRPr="001F5812">
        <w:rPr>
          <w:rFonts w:asciiTheme="minorHAnsi" w:hAnsiTheme="minorHAnsi" w:cstheme="minorHAnsi"/>
          <w:b/>
          <w:i w:val="0"/>
          <w:color w:val="auto"/>
          <w:szCs w:val="24"/>
          <w:u w:val="single"/>
        </w:rPr>
        <w:t>Centered Planning and Service Delivery</w:t>
      </w:r>
    </w:p>
    <w:p w14:paraId="14D2052E" w14:textId="49630410" w:rsidR="00B73D8E" w:rsidRPr="001F5812" w:rsidRDefault="00B73D8E" w:rsidP="00B56862">
      <w:pPr>
        <w:pStyle w:val="ListParagraph"/>
        <w:numPr>
          <w:ilvl w:val="0"/>
          <w:numId w:val="28"/>
        </w:numPr>
        <w:spacing w:line="240" w:lineRule="auto"/>
        <w:rPr>
          <w:rFonts w:asciiTheme="minorHAnsi" w:hAnsiTheme="minorHAnsi" w:cstheme="minorHAnsi"/>
          <w:b/>
          <w:i w:val="0"/>
          <w:color w:val="auto"/>
          <w:szCs w:val="24"/>
        </w:rPr>
      </w:pPr>
      <w:r w:rsidRPr="001F5812">
        <w:rPr>
          <w:rFonts w:asciiTheme="minorHAnsi" w:hAnsiTheme="minorHAnsi" w:cstheme="minorHAnsi"/>
          <w:b/>
          <w:i w:val="0"/>
          <w:color w:val="auto"/>
          <w:szCs w:val="24"/>
        </w:rPr>
        <w:t>The Board encourages the Commonwealth to take additional steps to eliminate organizational conflicts of interest in the developmental disabilities waiver system.</w:t>
      </w:r>
    </w:p>
    <w:p w14:paraId="6D7645BE" w14:textId="38BE0934" w:rsidR="00F32511" w:rsidRPr="001F5812" w:rsidRDefault="000E69D7" w:rsidP="00B56862">
      <w:pPr>
        <w:spacing w:line="240" w:lineRule="auto"/>
        <w:ind w:left="360"/>
        <w:rPr>
          <w:rFonts w:asciiTheme="minorHAnsi" w:hAnsiTheme="minorHAnsi" w:cstheme="minorHAnsi"/>
          <w:i w:val="0"/>
          <w:color w:val="auto"/>
          <w:szCs w:val="24"/>
        </w:rPr>
      </w:pPr>
      <w:r w:rsidRPr="001F5812">
        <w:rPr>
          <w:rFonts w:asciiTheme="minorHAnsi" w:hAnsiTheme="minorHAnsi" w:cstheme="minorHAnsi"/>
          <w:i w:val="0"/>
          <w:color w:val="auto"/>
          <w:szCs w:val="24"/>
        </w:rPr>
        <w:t>The Board repeats its 2016 recommendation here.</w:t>
      </w:r>
      <w:r w:rsidR="007C7817" w:rsidRPr="001F5812">
        <w:rPr>
          <w:rFonts w:asciiTheme="minorHAnsi" w:hAnsiTheme="minorHAnsi" w:cstheme="minorHAnsi"/>
          <w:i w:val="0"/>
          <w:color w:val="auto"/>
          <w:szCs w:val="24"/>
        </w:rPr>
        <w:t xml:space="preserve"> </w:t>
      </w:r>
      <w:r w:rsidR="00B73D8E" w:rsidRPr="001F5812">
        <w:rPr>
          <w:rFonts w:asciiTheme="minorHAnsi" w:hAnsiTheme="minorHAnsi" w:cstheme="minorHAnsi"/>
          <w:i w:val="0"/>
          <w:color w:val="auto"/>
          <w:szCs w:val="24"/>
        </w:rPr>
        <w:t>The Board has long advocated for steps to eliminate the conflict of interest created in Virginia as a consequence of a single entity determining eligibility for waiver services, providing case management services to individuals who receive waiver services, and providing direct services to these same individuals. As the Commonwealth is aware, the Center</w:t>
      </w:r>
      <w:r w:rsidR="00156467" w:rsidRPr="001F5812">
        <w:rPr>
          <w:rFonts w:asciiTheme="minorHAnsi" w:hAnsiTheme="minorHAnsi" w:cstheme="minorHAnsi"/>
          <w:i w:val="0"/>
          <w:color w:val="auto"/>
          <w:szCs w:val="24"/>
        </w:rPr>
        <w:t>s</w:t>
      </w:r>
      <w:r w:rsidR="00B73D8E" w:rsidRPr="001F5812">
        <w:rPr>
          <w:rFonts w:asciiTheme="minorHAnsi" w:hAnsiTheme="minorHAnsi" w:cstheme="minorHAnsi"/>
          <w:i w:val="0"/>
          <w:color w:val="auto"/>
          <w:szCs w:val="24"/>
        </w:rPr>
        <w:t xml:space="preserve"> for Medicare and Medicaid Services (CMS) has required states to provide conflict-free case management to individuals who receive Home</w:t>
      </w:r>
      <w:r w:rsidR="00F77BB5" w:rsidRPr="001F5812">
        <w:rPr>
          <w:rFonts w:asciiTheme="minorHAnsi" w:hAnsiTheme="minorHAnsi" w:cstheme="minorHAnsi"/>
          <w:i w:val="0"/>
          <w:color w:val="auto"/>
          <w:szCs w:val="24"/>
        </w:rPr>
        <w:t>-</w:t>
      </w:r>
      <w:r w:rsidR="00B73D8E" w:rsidRPr="001F5812">
        <w:rPr>
          <w:rFonts w:asciiTheme="minorHAnsi" w:hAnsiTheme="minorHAnsi" w:cstheme="minorHAnsi"/>
          <w:i w:val="0"/>
          <w:color w:val="auto"/>
          <w:szCs w:val="24"/>
        </w:rPr>
        <w:t xml:space="preserve"> and Community</w:t>
      </w:r>
      <w:r w:rsidR="00F77BB5" w:rsidRPr="001F5812">
        <w:rPr>
          <w:rFonts w:asciiTheme="minorHAnsi" w:hAnsiTheme="minorHAnsi" w:cstheme="minorHAnsi"/>
          <w:i w:val="0"/>
          <w:color w:val="auto"/>
          <w:szCs w:val="24"/>
        </w:rPr>
        <w:t>-</w:t>
      </w:r>
      <w:r w:rsidR="00B73D8E" w:rsidRPr="001F5812">
        <w:rPr>
          <w:rFonts w:asciiTheme="minorHAnsi" w:hAnsiTheme="minorHAnsi" w:cstheme="minorHAnsi"/>
          <w:i w:val="0"/>
          <w:color w:val="auto"/>
          <w:szCs w:val="24"/>
        </w:rPr>
        <w:t>Based Services since 2014. Ideally, case management and direct services should be provided by separate entities. To the extent that this is impossible or impractical, entities that deliver both case management and direct services must have procedures in place that mitigate the risk of conflicted case management.</w:t>
      </w:r>
      <w:r w:rsidR="007C7817" w:rsidRPr="001F5812">
        <w:rPr>
          <w:rFonts w:asciiTheme="minorHAnsi" w:hAnsiTheme="minorHAnsi" w:cstheme="minorHAnsi"/>
          <w:i w:val="0"/>
          <w:color w:val="auto"/>
          <w:szCs w:val="24"/>
        </w:rPr>
        <w:t xml:space="preserve"> </w:t>
      </w:r>
      <w:r w:rsidR="00F32511" w:rsidRPr="001F5812">
        <w:rPr>
          <w:rFonts w:asciiTheme="minorHAnsi" w:hAnsiTheme="minorHAnsi" w:cstheme="minorHAnsi"/>
          <w:i w:val="0"/>
          <w:color w:val="auto"/>
          <w:szCs w:val="24"/>
        </w:rPr>
        <w:t>The Commonwealth has done this to an extent.</w:t>
      </w:r>
      <w:r w:rsidR="007C7817" w:rsidRPr="001F5812">
        <w:rPr>
          <w:rFonts w:asciiTheme="minorHAnsi" w:hAnsiTheme="minorHAnsi" w:cstheme="minorHAnsi"/>
          <w:i w:val="0"/>
          <w:color w:val="auto"/>
          <w:szCs w:val="24"/>
        </w:rPr>
        <w:t xml:space="preserve"> </w:t>
      </w:r>
      <w:r w:rsidR="00E66ADF" w:rsidRPr="001F5812">
        <w:rPr>
          <w:rFonts w:asciiTheme="minorHAnsi" w:hAnsiTheme="minorHAnsi" w:cstheme="minorHAnsi"/>
          <w:i w:val="0"/>
          <w:color w:val="auto"/>
          <w:szCs w:val="24"/>
        </w:rPr>
        <w:t>However, the Board does not believe that the C</w:t>
      </w:r>
      <w:r w:rsidR="002D6550" w:rsidRPr="001F5812">
        <w:rPr>
          <w:rFonts w:asciiTheme="minorHAnsi" w:hAnsiTheme="minorHAnsi" w:cstheme="minorHAnsi"/>
          <w:i w:val="0"/>
          <w:color w:val="auto"/>
          <w:szCs w:val="24"/>
        </w:rPr>
        <w:t>o</w:t>
      </w:r>
      <w:r w:rsidR="00E66ADF" w:rsidRPr="001F5812">
        <w:rPr>
          <w:rFonts w:asciiTheme="minorHAnsi" w:hAnsiTheme="minorHAnsi" w:cstheme="minorHAnsi"/>
          <w:i w:val="0"/>
          <w:color w:val="auto"/>
          <w:szCs w:val="24"/>
        </w:rPr>
        <w:t>mmonwealth has gone far enough.</w:t>
      </w:r>
      <w:r w:rsidR="007C7817" w:rsidRPr="001F5812">
        <w:rPr>
          <w:rFonts w:asciiTheme="minorHAnsi" w:hAnsiTheme="minorHAnsi" w:cstheme="minorHAnsi"/>
          <w:i w:val="0"/>
          <w:color w:val="auto"/>
          <w:szCs w:val="24"/>
        </w:rPr>
        <w:t xml:space="preserve"> </w:t>
      </w:r>
    </w:p>
    <w:p w14:paraId="378F3AF4" w14:textId="53407A44" w:rsidR="00F32511" w:rsidRPr="001F5812" w:rsidRDefault="00F32511" w:rsidP="00B56862">
      <w:pPr>
        <w:spacing w:after="240" w:line="240" w:lineRule="auto"/>
        <w:ind w:left="360"/>
        <w:rPr>
          <w:rFonts w:asciiTheme="minorHAnsi" w:hAnsiTheme="minorHAnsi" w:cstheme="minorHAnsi"/>
          <w:i w:val="0"/>
          <w:color w:val="auto"/>
          <w:szCs w:val="24"/>
        </w:rPr>
      </w:pPr>
      <w:r w:rsidRPr="001F5812">
        <w:rPr>
          <w:rFonts w:asciiTheme="minorHAnsi" w:hAnsiTheme="minorHAnsi" w:cstheme="minorHAnsi"/>
          <w:i w:val="0"/>
          <w:color w:val="auto"/>
          <w:szCs w:val="24"/>
        </w:rPr>
        <w:t>CSBs remain the single point of entry for individuals with developmental disabilities, which the Board has supported.</w:t>
      </w:r>
      <w:r w:rsidR="007C7817" w:rsidRPr="001F5812">
        <w:rPr>
          <w:rFonts w:asciiTheme="minorHAnsi" w:hAnsiTheme="minorHAnsi" w:cstheme="minorHAnsi"/>
          <w:i w:val="0"/>
          <w:color w:val="auto"/>
          <w:szCs w:val="24"/>
        </w:rPr>
        <w:t xml:space="preserve"> </w:t>
      </w:r>
      <w:r w:rsidRPr="001F5812">
        <w:rPr>
          <w:rFonts w:asciiTheme="minorHAnsi" w:hAnsiTheme="minorHAnsi" w:cstheme="minorHAnsi"/>
          <w:i w:val="0"/>
          <w:color w:val="auto"/>
          <w:szCs w:val="24"/>
        </w:rPr>
        <w:t>CSBs are also allowed to provide both case management and direct services, in addition to evaluating individuals for eligibility for Medicaid waivers, albeit with firewalls in place.</w:t>
      </w:r>
      <w:r w:rsidR="007C7817" w:rsidRPr="001F5812">
        <w:rPr>
          <w:rFonts w:asciiTheme="minorHAnsi" w:hAnsiTheme="minorHAnsi" w:cstheme="minorHAnsi"/>
          <w:i w:val="0"/>
          <w:color w:val="auto"/>
          <w:szCs w:val="24"/>
        </w:rPr>
        <w:t xml:space="preserve"> </w:t>
      </w:r>
      <w:r w:rsidRPr="001F5812">
        <w:rPr>
          <w:rFonts w:asciiTheme="minorHAnsi" w:hAnsiTheme="minorHAnsi" w:cstheme="minorHAnsi"/>
          <w:i w:val="0"/>
          <w:color w:val="auto"/>
          <w:szCs w:val="24"/>
        </w:rPr>
        <w:t xml:space="preserve"> Although CSBs will be required to provide choice of case management, CSBs control who can and cannot compete with them in the marketplace, because private providers who wish to provide case management services to Medicaid waiver recipients will have to negotiate contracts with CSBs in order to do so and CSBs determine the rates their </w:t>
      </w:r>
      <w:r w:rsidR="00E66ADF" w:rsidRPr="001F5812">
        <w:rPr>
          <w:rFonts w:asciiTheme="minorHAnsi" w:hAnsiTheme="minorHAnsi" w:cstheme="minorHAnsi"/>
          <w:i w:val="0"/>
          <w:color w:val="auto"/>
          <w:szCs w:val="24"/>
        </w:rPr>
        <w:t xml:space="preserve">competitors </w:t>
      </w:r>
      <w:r w:rsidRPr="001F5812">
        <w:rPr>
          <w:rFonts w:asciiTheme="minorHAnsi" w:hAnsiTheme="minorHAnsi" w:cstheme="minorHAnsi"/>
          <w:i w:val="0"/>
          <w:color w:val="auto"/>
          <w:szCs w:val="24"/>
        </w:rPr>
        <w:t>receive.</w:t>
      </w:r>
      <w:r w:rsidR="007C7817" w:rsidRPr="001F5812">
        <w:rPr>
          <w:rFonts w:asciiTheme="minorHAnsi" w:hAnsiTheme="minorHAnsi" w:cstheme="minorHAnsi"/>
          <w:i w:val="0"/>
          <w:color w:val="auto"/>
          <w:szCs w:val="24"/>
        </w:rPr>
        <w:t xml:space="preserve"> </w:t>
      </w:r>
      <w:r w:rsidRPr="001F5812">
        <w:rPr>
          <w:rFonts w:asciiTheme="minorHAnsi" w:hAnsiTheme="minorHAnsi" w:cstheme="minorHAnsi"/>
          <w:i w:val="0"/>
          <w:color w:val="auto"/>
          <w:szCs w:val="24"/>
        </w:rPr>
        <w:t xml:space="preserve"> For various reasons, the number of private case management providers has dropped precipitously since waiver redesign, leaving even less choice for individuals. </w:t>
      </w:r>
    </w:p>
    <w:p w14:paraId="7AC3AED5" w14:textId="5E76F218" w:rsidR="00B73D8E" w:rsidRPr="001F5812" w:rsidRDefault="00F32511" w:rsidP="00B56862">
      <w:pPr>
        <w:spacing w:after="240" w:line="240" w:lineRule="auto"/>
        <w:ind w:left="360"/>
        <w:rPr>
          <w:rFonts w:asciiTheme="minorHAnsi" w:hAnsiTheme="minorHAnsi" w:cstheme="minorHAnsi"/>
          <w:i w:val="0"/>
          <w:color w:val="auto"/>
          <w:szCs w:val="24"/>
        </w:rPr>
      </w:pPr>
      <w:r w:rsidRPr="001F5812">
        <w:rPr>
          <w:rFonts w:asciiTheme="minorHAnsi" w:hAnsiTheme="minorHAnsi" w:cstheme="minorHAnsi"/>
          <w:i w:val="0"/>
          <w:color w:val="auto"/>
          <w:szCs w:val="24"/>
        </w:rPr>
        <w:t>Further, the mitigation standards are inconsistent between private case management entities and CSB</w:t>
      </w:r>
      <w:r w:rsidR="00E66ADF" w:rsidRPr="001F5812">
        <w:rPr>
          <w:rFonts w:asciiTheme="minorHAnsi" w:hAnsiTheme="minorHAnsi" w:cstheme="minorHAnsi"/>
          <w:i w:val="0"/>
          <w:color w:val="auto"/>
          <w:szCs w:val="24"/>
        </w:rPr>
        <w:t>s</w:t>
      </w:r>
      <w:r w:rsidRPr="001F5812">
        <w:rPr>
          <w:rFonts w:asciiTheme="minorHAnsi" w:hAnsiTheme="minorHAnsi" w:cstheme="minorHAnsi"/>
          <w:i w:val="0"/>
          <w:color w:val="auto"/>
          <w:szCs w:val="24"/>
        </w:rPr>
        <w:t>. CSBs can be providers of waiver services as long as there is a separation between the direct service provision and case management units. This is positive mitigation. However, for private providers contracting for case management, the private provider cannot provide any waiver service to an individual other than service facilitation.</w:t>
      </w:r>
      <w:r w:rsidR="007C7817" w:rsidRPr="001F5812">
        <w:rPr>
          <w:rFonts w:asciiTheme="minorHAnsi" w:hAnsiTheme="minorHAnsi" w:cstheme="minorHAnsi"/>
          <w:i w:val="0"/>
          <w:color w:val="auto"/>
          <w:szCs w:val="24"/>
        </w:rPr>
        <w:t xml:space="preserve"> </w:t>
      </w:r>
      <w:r w:rsidRPr="001F5812">
        <w:rPr>
          <w:rFonts w:asciiTheme="minorHAnsi" w:hAnsiTheme="minorHAnsi" w:cstheme="minorHAnsi"/>
          <w:i w:val="0"/>
          <w:color w:val="auto"/>
          <w:szCs w:val="24"/>
        </w:rPr>
        <w:t xml:space="preserve">In reality, </w:t>
      </w:r>
      <w:r w:rsidR="002D4A9F" w:rsidRPr="001F5812">
        <w:rPr>
          <w:rFonts w:asciiTheme="minorHAnsi" w:hAnsiTheme="minorHAnsi" w:cstheme="minorHAnsi"/>
          <w:i w:val="0"/>
          <w:color w:val="auto"/>
          <w:szCs w:val="24"/>
        </w:rPr>
        <w:t xml:space="preserve">this </w:t>
      </w:r>
      <w:r w:rsidRPr="001F5812">
        <w:rPr>
          <w:rFonts w:asciiTheme="minorHAnsi" w:hAnsiTheme="minorHAnsi" w:cstheme="minorHAnsi"/>
          <w:i w:val="0"/>
          <w:color w:val="auto"/>
          <w:szCs w:val="24"/>
        </w:rPr>
        <w:t xml:space="preserve">should be the </w:t>
      </w:r>
      <w:r w:rsidR="002D4A9F" w:rsidRPr="001F5812">
        <w:rPr>
          <w:rFonts w:asciiTheme="minorHAnsi" w:hAnsiTheme="minorHAnsi" w:cstheme="minorHAnsi"/>
          <w:i w:val="0"/>
          <w:color w:val="auto"/>
          <w:szCs w:val="24"/>
        </w:rPr>
        <w:t xml:space="preserve">universally applicable </w:t>
      </w:r>
      <w:r w:rsidRPr="001F5812">
        <w:rPr>
          <w:rFonts w:asciiTheme="minorHAnsi" w:hAnsiTheme="minorHAnsi" w:cstheme="minorHAnsi"/>
          <w:i w:val="0"/>
          <w:color w:val="auto"/>
          <w:szCs w:val="24"/>
        </w:rPr>
        <w:t>standard</w:t>
      </w:r>
      <w:r w:rsidR="002D4A9F" w:rsidRPr="001F5812">
        <w:rPr>
          <w:rFonts w:asciiTheme="minorHAnsi" w:hAnsiTheme="minorHAnsi" w:cstheme="minorHAnsi"/>
          <w:i w:val="0"/>
          <w:color w:val="auto"/>
          <w:szCs w:val="24"/>
        </w:rPr>
        <w:t>:</w:t>
      </w:r>
      <w:r w:rsidRPr="001F5812">
        <w:rPr>
          <w:rFonts w:asciiTheme="minorHAnsi" w:hAnsiTheme="minorHAnsi" w:cstheme="minorHAnsi"/>
          <w:i w:val="0"/>
          <w:color w:val="auto"/>
          <w:szCs w:val="24"/>
        </w:rPr>
        <w:t xml:space="preserve"> case management </w:t>
      </w:r>
      <w:r w:rsidR="002D4A9F" w:rsidRPr="001F5812">
        <w:rPr>
          <w:rFonts w:asciiTheme="minorHAnsi" w:hAnsiTheme="minorHAnsi" w:cstheme="minorHAnsi"/>
          <w:i w:val="0"/>
          <w:color w:val="auto"/>
          <w:szCs w:val="24"/>
        </w:rPr>
        <w:t xml:space="preserve">entities should not </w:t>
      </w:r>
      <w:r w:rsidRPr="001F5812">
        <w:rPr>
          <w:rFonts w:asciiTheme="minorHAnsi" w:hAnsiTheme="minorHAnsi" w:cstheme="minorHAnsi"/>
          <w:i w:val="0"/>
          <w:color w:val="auto"/>
          <w:szCs w:val="24"/>
        </w:rPr>
        <w:t xml:space="preserve">provide both direct services and case management. </w:t>
      </w:r>
      <w:r w:rsidR="002D4A9F" w:rsidRPr="001F5812">
        <w:rPr>
          <w:rFonts w:asciiTheme="minorHAnsi" w:hAnsiTheme="minorHAnsi" w:cstheme="minorHAnsi"/>
          <w:i w:val="0"/>
          <w:color w:val="auto"/>
          <w:szCs w:val="24"/>
        </w:rPr>
        <w:t>Currently, however, this standard</w:t>
      </w:r>
      <w:r w:rsidRPr="001F5812">
        <w:rPr>
          <w:rFonts w:asciiTheme="minorHAnsi" w:hAnsiTheme="minorHAnsi" w:cstheme="minorHAnsi"/>
          <w:i w:val="0"/>
          <w:color w:val="auto"/>
          <w:szCs w:val="24"/>
        </w:rPr>
        <w:t xml:space="preserve"> only </w:t>
      </w:r>
      <w:r w:rsidR="002D4A9F" w:rsidRPr="001F5812">
        <w:rPr>
          <w:rFonts w:asciiTheme="minorHAnsi" w:hAnsiTheme="minorHAnsi" w:cstheme="minorHAnsi"/>
          <w:i w:val="0"/>
          <w:color w:val="auto"/>
          <w:szCs w:val="24"/>
        </w:rPr>
        <w:t>applies to</w:t>
      </w:r>
      <w:r w:rsidRPr="001F5812">
        <w:rPr>
          <w:rFonts w:asciiTheme="minorHAnsi" w:hAnsiTheme="minorHAnsi" w:cstheme="minorHAnsi"/>
          <w:i w:val="0"/>
          <w:color w:val="auto"/>
          <w:szCs w:val="24"/>
        </w:rPr>
        <w:t xml:space="preserve"> private case management entities</w:t>
      </w:r>
      <w:r w:rsidR="002D4A9F" w:rsidRPr="001F5812">
        <w:rPr>
          <w:rFonts w:asciiTheme="minorHAnsi" w:hAnsiTheme="minorHAnsi" w:cstheme="minorHAnsi"/>
          <w:i w:val="0"/>
          <w:color w:val="auto"/>
          <w:szCs w:val="24"/>
        </w:rPr>
        <w:t xml:space="preserve"> in Virginia</w:t>
      </w:r>
      <w:r w:rsidRPr="001F5812">
        <w:rPr>
          <w:rFonts w:asciiTheme="minorHAnsi" w:hAnsiTheme="minorHAnsi" w:cstheme="minorHAnsi"/>
          <w:i w:val="0"/>
          <w:color w:val="auto"/>
          <w:szCs w:val="24"/>
        </w:rPr>
        <w:t xml:space="preserve">, which constitutes inequitable treatment. The same requirements should apply for private and public case management entities. </w:t>
      </w:r>
    </w:p>
    <w:p w14:paraId="18E53CB3" w14:textId="6D1B1457" w:rsidR="00F32511" w:rsidRPr="001F5812" w:rsidRDefault="00B73D8E" w:rsidP="00B56862">
      <w:pPr>
        <w:spacing w:after="240" w:line="240" w:lineRule="auto"/>
        <w:ind w:left="360"/>
        <w:rPr>
          <w:rFonts w:asciiTheme="minorHAnsi" w:hAnsiTheme="minorHAnsi" w:cstheme="minorHAnsi"/>
          <w:i w:val="0"/>
          <w:color w:val="auto"/>
          <w:szCs w:val="24"/>
        </w:rPr>
      </w:pPr>
      <w:r w:rsidRPr="001F5812">
        <w:rPr>
          <w:rFonts w:asciiTheme="minorHAnsi" w:hAnsiTheme="minorHAnsi" w:cstheme="minorHAnsi"/>
          <w:i w:val="0"/>
          <w:color w:val="auto"/>
          <w:szCs w:val="24"/>
        </w:rPr>
        <w:t>The Board is concerned that t</w:t>
      </w:r>
      <w:r w:rsidR="00A43B36" w:rsidRPr="001F5812">
        <w:rPr>
          <w:rFonts w:asciiTheme="minorHAnsi" w:hAnsiTheme="minorHAnsi" w:cstheme="minorHAnsi"/>
          <w:i w:val="0"/>
          <w:color w:val="auto"/>
          <w:szCs w:val="24"/>
        </w:rPr>
        <w:t>he redesigned waiver system is still not optimal in terms of co</w:t>
      </w:r>
      <w:r w:rsidRPr="001F5812">
        <w:rPr>
          <w:rFonts w:asciiTheme="minorHAnsi" w:hAnsiTheme="minorHAnsi" w:cstheme="minorHAnsi"/>
          <w:i w:val="0"/>
          <w:color w:val="auto"/>
          <w:szCs w:val="24"/>
        </w:rPr>
        <w:t xml:space="preserve">nflict free case management, and that the system </w:t>
      </w:r>
      <w:r w:rsidR="00A43B36" w:rsidRPr="001F5812">
        <w:rPr>
          <w:rFonts w:asciiTheme="minorHAnsi" w:hAnsiTheme="minorHAnsi" w:cstheme="minorHAnsi"/>
          <w:i w:val="0"/>
          <w:color w:val="auto"/>
          <w:szCs w:val="24"/>
        </w:rPr>
        <w:t xml:space="preserve">does not provide sufficient </w:t>
      </w:r>
      <w:r w:rsidRPr="001F5812">
        <w:rPr>
          <w:rFonts w:asciiTheme="minorHAnsi" w:hAnsiTheme="minorHAnsi" w:cstheme="minorHAnsi"/>
          <w:i w:val="0"/>
          <w:color w:val="auto"/>
          <w:szCs w:val="24"/>
        </w:rPr>
        <w:t xml:space="preserve">choice of </w:t>
      </w:r>
      <w:r w:rsidRPr="001F5812">
        <w:rPr>
          <w:rFonts w:asciiTheme="minorHAnsi" w:hAnsiTheme="minorHAnsi" w:cstheme="minorHAnsi"/>
          <w:i w:val="0"/>
          <w:color w:val="auto"/>
          <w:szCs w:val="24"/>
        </w:rPr>
        <w:lastRenderedPageBreak/>
        <w:t>case management to waiver recipients. The Board strongly encourages the Commonwealth to consider alternative avenues for approving private case managers</w:t>
      </w:r>
      <w:r w:rsidR="00A43B36" w:rsidRPr="001F5812">
        <w:rPr>
          <w:rFonts w:asciiTheme="minorHAnsi" w:hAnsiTheme="minorHAnsi" w:cstheme="minorHAnsi"/>
          <w:i w:val="0"/>
          <w:color w:val="auto"/>
          <w:szCs w:val="24"/>
        </w:rPr>
        <w:t xml:space="preserve"> and increasing private case management capacity</w:t>
      </w:r>
      <w:r w:rsidRPr="001F5812">
        <w:rPr>
          <w:rFonts w:asciiTheme="minorHAnsi" w:hAnsiTheme="minorHAnsi" w:cstheme="minorHAnsi"/>
          <w:i w:val="0"/>
          <w:color w:val="auto"/>
          <w:szCs w:val="24"/>
        </w:rPr>
        <w:t>. We also encourage the Commonwealth to consider setting a standard rate of reimbursement for private case managers. The current system that allows CSBs to negotiate rates with private providers, and to determine who can enter the case management market as a competitor, perpetuates potential organizational conflicts of interests.</w:t>
      </w:r>
      <w:r w:rsidR="007C7817" w:rsidRPr="001F5812">
        <w:rPr>
          <w:rFonts w:asciiTheme="minorHAnsi" w:hAnsiTheme="minorHAnsi" w:cstheme="minorHAnsi"/>
          <w:i w:val="0"/>
          <w:color w:val="auto"/>
          <w:szCs w:val="24"/>
        </w:rPr>
        <w:t xml:space="preserve"> </w:t>
      </w:r>
      <w:r w:rsidR="00F32511" w:rsidRPr="001F5812">
        <w:rPr>
          <w:rFonts w:asciiTheme="minorHAnsi" w:hAnsiTheme="minorHAnsi" w:cstheme="minorHAnsi"/>
          <w:i w:val="0"/>
          <w:color w:val="auto"/>
          <w:szCs w:val="24"/>
        </w:rPr>
        <w:t>Finally, other conflict mitigation strategies such as enacting a robust monitoring and oversight system and an effective consumer complaint system should also be in place.</w:t>
      </w:r>
    </w:p>
    <w:p w14:paraId="5F24E248" w14:textId="48A0C00C" w:rsidR="00CA1A95" w:rsidRPr="001F5812" w:rsidRDefault="00CA1A95" w:rsidP="000B0FA4">
      <w:pPr>
        <w:spacing w:after="0" w:line="240" w:lineRule="auto"/>
        <w:outlineLvl w:val="1"/>
        <w:rPr>
          <w:rFonts w:asciiTheme="minorHAnsi" w:hAnsiTheme="minorHAnsi" w:cstheme="minorHAnsi"/>
          <w:b/>
          <w:i w:val="0"/>
          <w:color w:val="auto"/>
          <w:szCs w:val="24"/>
          <w:u w:val="single"/>
        </w:rPr>
      </w:pPr>
      <w:r w:rsidRPr="001F5812">
        <w:rPr>
          <w:rFonts w:asciiTheme="minorHAnsi" w:hAnsiTheme="minorHAnsi" w:cstheme="minorHAnsi"/>
          <w:b/>
          <w:i w:val="0"/>
          <w:color w:val="auto"/>
          <w:szCs w:val="24"/>
          <w:u w:val="single"/>
        </w:rPr>
        <w:t>Appendix D: Participant-Centered Planning and Service Delivery</w:t>
      </w:r>
      <w:r w:rsidR="007B7994" w:rsidRPr="001F5812">
        <w:rPr>
          <w:rFonts w:asciiTheme="minorHAnsi" w:hAnsiTheme="minorHAnsi" w:cstheme="minorHAnsi"/>
          <w:b/>
          <w:i w:val="0"/>
          <w:color w:val="auto"/>
          <w:szCs w:val="24"/>
          <w:u w:val="single"/>
        </w:rPr>
        <w:t xml:space="preserve"> </w:t>
      </w:r>
      <w:r w:rsidRPr="001F5812">
        <w:rPr>
          <w:rFonts w:asciiTheme="minorHAnsi" w:hAnsiTheme="minorHAnsi" w:cstheme="minorHAnsi"/>
          <w:b/>
          <w:i w:val="0"/>
          <w:color w:val="auto"/>
          <w:szCs w:val="24"/>
          <w:u w:val="single"/>
        </w:rPr>
        <w:t>- Quality Improvement: Service Plan</w:t>
      </w:r>
    </w:p>
    <w:p w14:paraId="7479ADB4" w14:textId="3B55B35E" w:rsidR="00CA1A95" w:rsidRPr="001F5812" w:rsidRDefault="00CA1A95" w:rsidP="00B56862">
      <w:pPr>
        <w:spacing w:after="0" w:line="240" w:lineRule="auto"/>
        <w:rPr>
          <w:rFonts w:asciiTheme="minorHAnsi" w:hAnsiTheme="minorHAnsi" w:cstheme="minorHAnsi"/>
          <w:b/>
          <w:i w:val="0"/>
          <w:color w:val="auto"/>
          <w:szCs w:val="24"/>
          <w:u w:val="single"/>
        </w:rPr>
      </w:pPr>
    </w:p>
    <w:p w14:paraId="61CEF7F6" w14:textId="17970432" w:rsidR="00CA1A95" w:rsidRPr="001F5812" w:rsidRDefault="00CA1A95" w:rsidP="00B56862">
      <w:pPr>
        <w:pStyle w:val="ListParagraph"/>
        <w:numPr>
          <w:ilvl w:val="0"/>
          <w:numId w:val="28"/>
        </w:numPr>
        <w:spacing w:after="240" w:line="240" w:lineRule="auto"/>
        <w:rPr>
          <w:rFonts w:asciiTheme="minorHAnsi" w:hAnsiTheme="minorHAnsi" w:cstheme="minorHAnsi"/>
          <w:b/>
          <w:i w:val="0"/>
          <w:color w:val="auto"/>
          <w:szCs w:val="24"/>
        </w:rPr>
      </w:pPr>
      <w:r w:rsidRPr="001F5812">
        <w:rPr>
          <w:rFonts w:asciiTheme="minorHAnsi" w:hAnsiTheme="minorHAnsi" w:cstheme="minorHAnsi"/>
          <w:b/>
          <w:i w:val="0"/>
          <w:color w:val="auto"/>
          <w:szCs w:val="24"/>
        </w:rPr>
        <w:t>“Sub-assurance: Service plans address all participants assessed needs (including health and safety risk factors) and personal goals, either by provision of waiver services or through other means</w:t>
      </w:r>
      <w:r w:rsidR="007E3BD6" w:rsidRPr="001F5812">
        <w:rPr>
          <w:rFonts w:asciiTheme="minorHAnsi" w:hAnsiTheme="minorHAnsi" w:cstheme="minorHAnsi"/>
          <w:b/>
          <w:i w:val="0"/>
          <w:color w:val="auto"/>
          <w:szCs w:val="24"/>
        </w:rPr>
        <w:t>” Section: The Board recommends adding performance measures that speak to the satisfaction</w:t>
      </w:r>
      <w:r w:rsidR="00E90AE2" w:rsidRPr="001F5812">
        <w:rPr>
          <w:rFonts w:asciiTheme="minorHAnsi" w:hAnsiTheme="minorHAnsi" w:cstheme="minorHAnsi"/>
          <w:b/>
          <w:i w:val="0"/>
          <w:color w:val="auto"/>
          <w:szCs w:val="24"/>
        </w:rPr>
        <w:t xml:space="preserve"> of the individual and/or their chosen team members</w:t>
      </w:r>
      <w:r w:rsidR="007E3BD6" w:rsidRPr="001F5812">
        <w:rPr>
          <w:rFonts w:asciiTheme="minorHAnsi" w:hAnsiTheme="minorHAnsi" w:cstheme="minorHAnsi"/>
          <w:b/>
          <w:i w:val="0"/>
          <w:color w:val="auto"/>
          <w:szCs w:val="24"/>
        </w:rPr>
        <w:t xml:space="preserve"> with their service plan.</w:t>
      </w:r>
    </w:p>
    <w:p w14:paraId="1C5672D7" w14:textId="5C5EC6E1" w:rsidR="00CA1A95" w:rsidRPr="001F5812" w:rsidRDefault="00CA1A95" w:rsidP="00B56862">
      <w:pPr>
        <w:pStyle w:val="ListParagraph"/>
        <w:spacing w:after="240" w:line="240" w:lineRule="auto"/>
        <w:ind w:left="360"/>
        <w:rPr>
          <w:rFonts w:asciiTheme="minorHAnsi" w:hAnsiTheme="minorHAnsi" w:cstheme="minorHAnsi"/>
          <w:i w:val="0"/>
          <w:color w:val="auto"/>
          <w:szCs w:val="24"/>
        </w:rPr>
      </w:pPr>
      <w:r w:rsidRPr="001F5812">
        <w:rPr>
          <w:rFonts w:asciiTheme="minorHAnsi" w:hAnsiTheme="minorHAnsi" w:cstheme="minorHAnsi"/>
          <w:i w:val="0"/>
          <w:color w:val="auto"/>
          <w:szCs w:val="24"/>
        </w:rPr>
        <w:t xml:space="preserve">The proposed performance measures focus on whether the service plans address </w:t>
      </w:r>
      <w:r w:rsidR="0035094A" w:rsidRPr="001F5812">
        <w:rPr>
          <w:rFonts w:asciiTheme="minorHAnsi" w:hAnsiTheme="minorHAnsi" w:cstheme="minorHAnsi"/>
          <w:i w:val="0"/>
          <w:color w:val="auto"/>
          <w:szCs w:val="24"/>
        </w:rPr>
        <w:t>individual</w:t>
      </w:r>
      <w:r w:rsidRPr="001F5812">
        <w:rPr>
          <w:rFonts w:asciiTheme="minorHAnsi" w:hAnsiTheme="minorHAnsi" w:cstheme="minorHAnsi"/>
          <w:i w:val="0"/>
          <w:color w:val="auto"/>
          <w:szCs w:val="24"/>
        </w:rPr>
        <w:t xml:space="preserve">s’ assessed risks, but do not appear to speak to whether the service plans address participants’ personal goals. </w:t>
      </w:r>
      <w:r w:rsidR="0035094A" w:rsidRPr="001F5812">
        <w:rPr>
          <w:rFonts w:asciiTheme="minorHAnsi" w:hAnsiTheme="minorHAnsi" w:cstheme="minorHAnsi"/>
          <w:i w:val="0"/>
          <w:color w:val="auto"/>
          <w:szCs w:val="24"/>
        </w:rPr>
        <w:t xml:space="preserve">Absent standard documentation of individuals’ goals against which to compare the service plans, one source of relevant information is the individuals’ </w:t>
      </w:r>
      <w:r w:rsidR="00E90AE2" w:rsidRPr="001F5812">
        <w:rPr>
          <w:rFonts w:asciiTheme="minorHAnsi" w:hAnsiTheme="minorHAnsi" w:cstheme="minorHAnsi"/>
          <w:i w:val="0"/>
          <w:color w:val="auto"/>
          <w:szCs w:val="24"/>
        </w:rPr>
        <w:t xml:space="preserve">and/or chosen team members’ </w:t>
      </w:r>
      <w:r w:rsidR="0035094A" w:rsidRPr="001F5812">
        <w:rPr>
          <w:rFonts w:asciiTheme="minorHAnsi" w:hAnsiTheme="minorHAnsi" w:cstheme="minorHAnsi"/>
          <w:i w:val="0"/>
          <w:color w:val="auto"/>
          <w:szCs w:val="24"/>
        </w:rPr>
        <w:t>satisfaction level with the service plans. The waiver application indicates that some form of satisfaction information is obtained during</w:t>
      </w:r>
      <w:r w:rsidR="00700E08" w:rsidRPr="001F5812">
        <w:rPr>
          <w:rFonts w:asciiTheme="minorHAnsi" w:hAnsiTheme="minorHAnsi" w:cstheme="minorHAnsi"/>
          <w:i w:val="0"/>
          <w:color w:val="auto"/>
          <w:szCs w:val="24"/>
        </w:rPr>
        <w:t xml:space="preserve"> and following</w:t>
      </w:r>
      <w:r w:rsidR="0035094A" w:rsidRPr="001F5812">
        <w:rPr>
          <w:rFonts w:asciiTheme="minorHAnsi" w:hAnsiTheme="minorHAnsi" w:cstheme="minorHAnsi"/>
          <w:i w:val="0"/>
          <w:color w:val="auto"/>
          <w:szCs w:val="24"/>
        </w:rPr>
        <w:t xml:space="preserve"> service plan development. According to the “Service Plan Development Process” section under Appendix D-1, “An evaluation of how the plan achieves the desired outcomes, from the individual’s and responsible partners’ perspectives, is completed prior to final agreements.”</w:t>
      </w:r>
      <w:r w:rsidR="00700E08" w:rsidRPr="001F5812">
        <w:rPr>
          <w:rFonts w:asciiTheme="minorHAnsi" w:hAnsiTheme="minorHAnsi" w:cstheme="minorHAnsi"/>
          <w:i w:val="0"/>
          <w:color w:val="auto"/>
          <w:szCs w:val="24"/>
        </w:rPr>
        <w:t xml:space="preserve"> </w:t>
      </w:r>
      <w:r w:rsidR="0035094A" w:rsidRPr="001F5812">
        <w:rPr>
          <w:rFonts w:asciiTheme="minorHAnsi" w:hAnsiTheme="minorHAnsi" w:cstheme="minorHAnsi"/>
          <w:i w:val="0"/>
          <w:color w:val="auto"/>
          <w:szCs w:val="24"/>
        </w:rPr>
        <w:t>The waiver application should include a performance measure that speaks to this information collected regarding satisfaction with the service plan.</w:t>
      </w:r>
    </w:p>
    <w:p w14:paraId="75469682" w14:textId="5DD27B3F" w:rsidR="00984C33" w:rsidRPr="001F5812" w:rsidRDefault="00984C33" w:rsidP="00B56862">
      <w:pPr>
        <w:pStyle w:val="ListParagraph"/>
        <w:numPr>
          <w:ilvl w:val="0"/>
          <w:numId w:val="28"/>
        </w:numPr>
        <w:spacing w:after="240" w:line="240" w:lineRule="auto"/>
        <w:rPr>
          <w:rFonts w:asciiTheme="minorHAnsi" w:hAnsiTheme="minorHAnsi" w:cstheme="minorHAnsi"/>
          <w:b/>
          <w:i w:val="0"/>
          <w:color w:val="auto"/>
          <w:szCs w:val="24"/>
        </w:rPr>
      </w:pPr>
      <w:r w:rsidRPr="001F5812">
        <w:rPr>
          <w:rFonts w:asciiTheme="minorHAnsi" w:hAnsiTheme="minorHAnsi" w:cstheme="minorHAnsi"/>
          <w:b/>
          <w:i w:val="0"/>
          <w:color w:val="auto"/>
          <w:szCs w:val="24"/>
        </w:rPr>
        <w:t>“Sub-assurance: Services are delivered in accordance with the service plan, including the type, scope, amount, duration and frequency specified in the service plan</w:t>
      </w:r>
      <w:r w:rsidR="004324AD" w:rsidRPr="001F5812">
        <w:rPr>
          <w:rFonts w:asciiTheme="minorHAnsi" w:hAnsiTheme="minorHAnsi" w:cstheme="minorHAnsi"/>
          <w:b/>
          <w:i w:val="0"/>
          <w:color w:val="auto"/>
          <w:szCs w:val="24"/>
        </w:rPr>
        <w:t>” Section: The Board recommends clarifying the threshold for determining whether an individual received services as specified.</w:t>
      </w:r>
    </w:p>
    <w:p w14:paraId="1C3DBD3D" w14:textId="07396BF8" w:rsidR="004324AD" w:rsidRPr="001F5812" w:rsidRDefault="004324AD" w:rsidP="00B56862">
      <w:pPr>
        <w:pStyle w:val="ListParagraph"/>
        <w:spacing w:after="240" w:line="240" w:lineRule="auto"/>
        <w:ind w:left="360"/>
        <w:rPr>
          <w:rFonts w:asciiTheme="minorHAnsi" w:hAnsiTheme="minorHAnsi" w:cstheme="minorHAnsi"/>
          <w:i w:val="0"/>
          <w:color w:val="auto"/>
          <w:szCs w:val="24"/>
        </w:rPr>
      </w:pPr>
      <w:r w:rsidRPr="001F5812">
        <w:rPr>
          <w:rFonts w:asciiTheme="minorHAnsi" w:hAnsiTheme="minorHAnsi" w:cstheme="minorHAnsi"/>
          <w:i w:val="0"/>
          <w:color w:val="auto"/>
          <w:szCs w:val="24"/>
        </w:rPr>
        <w:t>This section proposes several measures regarding whether individuals received services in the frequency, duration, type, scope, and amount identified in the service plan. The performance measure descriptions do not clarify the threshold for determining whether an individual received services as specified.</w:t>
      </w:r>
      <w:r w:rsidR="00AF19A3" w:rsidRPr="001F5812">
        <w:rPr>
          <w:rFonts w:asciiTheme="minorHAnsi" w:hAnsiTheme="minorHAnsi" w:cstheme="minorHAnsi"/>
          <w:i w:val="0"/>
          <w:color w:val="auto"/>
          <w:szCs w:val="24"/>
        </w:rPr>
        <w:t xml:space="preserve"> Performance may vary across services, but a given individual may be set up to receive multiple services.</w:t>
      </w:r>
      <w:r w:rsidR="007C7817" w:rsidRPr="001F5812">
        <w:rPr>
          <w:rFonts w:asciiTheme="minorHAnsi" w:hAnsiTheme="minorHAnsi" w:cstheme="minorHAnsi"/>
          <w:i w:val="0"/>
          <w:color w:val="auto"/>
          <w:szCs w:val="24"/>
        </w:rPr>
        <w:t xml:space="preserve"> </w:t>
      </w:r>
      <w:r w:rsidRPr="001F5812">
        <w:rPr>
          <w:rFonts w:asciiTheme="minorHAnsi" w:hAnsiTheme="minorHAnsi" w:cstheme="minorHAnsi"/>
          <w:i w:val="0"/>
          <w:color w:val="auto"/>
          <w:szCs w:val="24"/>
        </w:rPr>
        <w:t>Do all services need to be provid</w:t>
      </w:r>
      <w:r w:rsidR="00F52393" w:rsidRPr="001F5812">
        <w:rPr>
          <w:rFonts w:asciiTheme="minorHAnsi" w:hAnsiTheme="minorHAnsi" w:cstheme="minorHAnsi"/>
          <w:i w:val="0"/>
          <w:color w:val="auto"/>
          <w:szCs w:val="24"/>
        </w:rPr>
        <w:t>ed</w:t>
      </w:r>
      <w:r w:rsidRPr="001F5812">
        <w:rPr>
          <w:rFonts w:asciiTheme="minorHAnsi" w:hAnsiTheme="minorHAnsi" w:cstheme="minorHAnsi"/>
          <w:i w:val="0"/>
          <w:color w:val="auto"/>
          <w:szCs w:val="24"/>
        </w:rPr>
        <w:t xml:space="preserve"> in the specified manner</w:t>
      </w:r>
      <w:r w:rsidR="00F52393" w:rsidRPr="001F5812">
        <w:rPr>
          <w:rFonts w:asciiTheme="minorHAnsi" w:hAnsiTheme="minorHAnsi" w:cstheme="minorHAnsi"/>
          <w:i w:val="0"/>
          <w:color w:val="auto"/>
          <w:szCs w:val="24"/>
        </w:rPr>
        <w:t xml:space="preserve"> to a given individual</w:t>
      </w:r>
      <w:r w:rsidRPr="001F5812">
        <w:rPr>
          <w:rFonts w:asciiTheme="minorHAnsi" w:hAnsiTheme="minorHAnsi" w:cstheme="minorHAnsi"/>
          <w:i w:val="0"/>
          <w:color w:val="auto"/>
          <w:szCs w:val="24"/>
        </w:rPr>
        <w:t xml:space="preserve">? What if 11 out of 12 total services in the service plan were provided in the frequency specified in </w:t>
      </w:r>
      <w:r w:rsidR="007B7994" w:rsidRPr="001F5812">
        <w:rPr>
          <w:rFonts w:asciiTheme="minorHAnsi" w:hAnsiTheme="minorHAnsi" w:cstheme="minorHAnsi"/>
          <w:i w:val="0"/>
          <w:color w:val="auto"/>
          <w:szCs w:val="24"/>
        </w:rPr>
        <w:t>the service plan? What if only two</w:t>
      </w:r>
      <w:r w:rsidRPr="001F5812">
        <w:rPr>
          <w:rFonts w:asciiTheme="minorHAnsi" w:hAnsiTheme="minorHAnsi" w:cstheme="minorHAnsi"/>
          <w:i w:val="0"/>
          <w:color w:val="auto"/>
          <w:szCs w:val="24"/>
        </w:rPr>
        <w:t xml:space="preserve"> of 12 total services were provided as specified? </w:t>
      </w:r>
    </w:p>
    <w:p w14:paraId="75978D2F" w14:textId="44204986" w:rsidR="004324AD" w:rsidRPr="001F5812" w:rsidRDefault="004324AD" w:rsidP="00B56862">
      <w:pPr>
        <w:pStyle w:val="ListParagraph"/>
        <w:numPr>
          <w:ilvl w:val="0"/>
          <w:numId w:val="28"/>
        </w:numPr>
        <w:spacing w:after="240" w:line="240" w:lineRule="auto"/>
        <w:rPr>
          <w:rFonts w:asciiTheme="minorHAnsi" w:hAnsiTheme="minorHAnsi" w:cstheme="minorHAnsi"/>
          <w:b/>
          <w:i w:val="0"/>
          <w:color w:val="auto"/>
          <w:szCs w:val="24"/>
        </w:rPr>
      </w:pPr>
      <w:r w:rsidRPr="001F5812">
        <w:rPr>
          <w:rFonts w:asciiTheme="minorHAnsi" w:hAnsiTheme="minorHAnsi" w:cstheme="minorHAnsi"/>
          <w:b/>
          <w:i w:val="0"/>
          <w:color w:val="auto"/>
          <w:szCs w:val="24"/>
        </w:rPr>
        <w:lastRenderedPageBreak/>
        <w:t>“Sub-assurance: Services are delivered in accordance with the service plan, including the type, scope, amount, duration and frequency specified in the service plan</w:t>
      </w:r>
      <w:r w:rsidR="001A7E34" w:rsidRPr="001F5812">
        <w:rPr>
          <w:rFonts w:asciiTheme="minorHAnsi" w:hAnsiTheme="minorHAnsi" w:cstheme="minorHAnsi"/>
          <w:b/>
          <w:i w:val="0"/>
          <w:color w:val="auto"/>
          <w:szCs w:val="24"/>
        </w:rPr>
        <w:t>” Section: The Board recommends adding performance measures that speak to</w:t>
      </w:r>
      <w:r w:rsidR="00343760" w:rsidRPr="001F5812">
        <w:rPr>
          <w:rFonts w:asciiTheme="minorHAnsi" w:hAnsiTheme="minorHAnsi" w:cstheme="minorHAnsi"/>
          <w:b/>
          <w:i w:val="0"/>
          <w:color w:val="auto"/>
          <w:szCs w:val="24"/>
        </w:rPr>
        <w:t xml:space="preserve"> the qualitative aspects of service provision including recipient satisfaction</w:t>
      </w:r>
      <w:r w:rsidR="00012516" w:rsidRPr="001F5812">
        <w:rPr>
          <w:rFonts w:asciiTheme="minorHAnsi" w:hAnsiTheme="minorHAnsi" w:cstheme="minorHAnsi"/>
          <w:b/>
          <w:i w:val="0"/>
          <w:color w:val="auto"/>
          <w:szCs w:val="24"/>
        </w:rPr>
        <w:t>, related complaints/grievances,</w:t>
      </w:r>
      <w:r w:rsidR="00343760" w:rsidRPr="001F5812">
        <w:rPr>
          <w:rFonts w:asciiTheme="minorHAnsi" w:hAnsiTheme="minorHAnsi" w:cstheme="minorHAnsi"/>
          <w:b/>
          <w:i w:val="0"/>
          <w:color w:val="auto"/>
          <w:szCs w:val="24"/>
        </w:rPr>
        <w:t xml:space="preserve"> and outcomes</w:t>
      </w:r>
      <w:r w:rsidR="001A7E34" w:rsidRPr="001F5812">
        <w:rPr>
          <w:rFonts w:asciiTheme="minorHAnsi" w:hAnsiTheme="minorHAnsi" w:cstheme="minorHAnsi"/>
          <w:b/>
          <w:i w:val="0"/>
          <w:color w:val="auto"/>
          <w:szCs w:val="24"/>
        </w:rPr>
        <w:t>.</w:t>
      </w:r>
    </w:p>
    <w:p w14:paraId="10958CED" w14:textId="21E72D6C" w:rsidR="00984C33" w:rsidRPr="001F5812" w:rsidRDefault="00A93955" w:rsidP="00B56862">
      <w:pPr>
        <w:pStyle w:val="ListParagraph"/>
        <w:spacing w:after="240" w:line="240" w:lineRule="auto"/>
        <w:ind w:left="360"/>
        <w:rPr>
          <w:rFonts w:asciiTheme="minorHAnsi" w:hAnsiTheme="minorHAnsi" w:cstheme="minorHAnsi"/>
          <w:i w:val="0"/>
          <w:color w:val="auto"/>
          <w:szCs w:val="24"/>
        </w:rPr>
      </w:pPr>
      <w:r w:rsidRPr="001F5812">
        <w:rPr>
          <w:rFonts w:asciiTheme="minorHAnsi" w:hAnsiTheme="minorHAnsi" w:cstheme="minorHAnsi"/>
          <w:i w:val="0"/>
          <w:color w:val="auto"/>
          <w:szCs w:val="24"/>
        </w:rPr>
        <w:t xml:space="preserve">The proposed performance measures address quantitative aspects of service provision, but not qualitative aspects of service provision. One source of information regarding service quality is the recipient. The waiver application indicates that some form of satisfaction information is obtained during and following service plan development. </w:t>
      </w:r>
      <w:r w:rsidR="00984C33" w:rsidRPr="001F5812">
        <w:rPr>
          <w:rFonts w:asciiTheme="minorHAnsi" w:hAnsiTheme="minorHAnsi" w:cstheme="minorHAnsi"/>
          <w:i w:val="0"/>
          <w:color w:val="auto"/>
          <w:szCs w:val="24"/>
        </w:rPr>
        <w:t>According to the “Service Plan Development Process” section under Appendix D-1, “The case manager meets with the individual (and family/caregiver as appropriate) at least every 90 days to discuss the status of supports received and resulting satisfaction/dissatisfaction.</w:t>
      </w:r>
      <w:r w:rsidR="005A5530" w:rsidRPr="001F5812">
        <w:rPr>
          <w:rFonts w:asciiTheme="minorHAnsi" w:hAnsiTheme="minorHAnsi" w:cstheme="minorHAnsi"/>
          <w:i w:val="0"/>
          <w:color w:val="auto"/>
          <w:szCs w:val="24"/>
        </w:rPr>
        <w:t>”</w:t>
      </w:r>
      <w:r w:rsidRPr="001F5812">
        <w:rPr>
          <w:rFonts w:asciiTheme="minorHAnsi" w:hAnsiTheme="minorHAnsi" w:cstheme="minorHAnsi"/>
          <w:i w:val="0"/>
          <w:color w:val="auto"/>
          <w:szCs w:val="24"/>
        </w:rPr>
        <w:t xml:space="preserve"> The waiver application should include a performance measure that speaks to this information collected regarding satisfaction with the service provision.</w:t>
      </w:r>
    </w:p>
    <w:p w14:paraId="71960EBE" w14:textId="35F9CCD7" w:rsidR="00012516" w:rsidRPr="001F5812" w:rsidRDefault="00012516" w:rsidP="00B56862">
      <w:pPr>
        <w:pStyle w:val="ListParagraph"/>
        <w:spacing w:after="240" w:line="240" w:lineRule="auto"/>
        <w:ind w:left="360"/>
        <w:rPr>
          <w:rFonts w:asciiTheme="minorHAnsi" w:hAnsiTheme="minorHAnsi" w:cstheme="minorHAnsi"/>
          <w:i w:val="0"/>
          <w:color w:val="auto"/>
          <w:szCs w:val="24"/>
        </w:rPr>
      </w:pPr>
      <w:r w:rsidRPr="001F5812">
        <w:rPr>
          <w:rFonts w:asciiTheme="minorHAnsi" w:hAnsiTheme="minorHAnsi" w:cstheme="minorHAnsi"/>
          <w:i w:val="0"/>
          <w:color w:val="auto"/>
          <w:szCs w:val="24"/>
        </w:rPr>
        <w:t>Another way of determining recipient satisfaction is to consider any complaints/grievances. Information on related complaints/grievances would incorporate important input from the individuals receiving services. While not all complaints/grievances may be valid, the frequency with which complaints/grievances are made is nonetheless an indicator of dissatisfaction and can be an indicator of problems with service provision. Therefore, the waiver application should include performance measures regarding the percentage of recipients who have filed complaints/grievances regarding service provision.</w:t>
      </w:r>
    </w:p>
    <w:p w14:paraId="1BB0130B" w14:textId="60103CB0" w:rsidR="00343760" w:rsidRPr="001F5812" w:rsidRDefault="00343760" w:rsidP="00B56862">
      <w:pPr>
        <w:pStyle w:val="ListParagraph"/>
        <w:spacing w:after="240" w:line="240" w:lineRule="auto"/>
        <w:ind w:left="360"/>
        <w:rPr>
          <w:rFonts w:asciiTheme="minorHAnsi" w:hAnsiTheme="minorHAnsi" w:cstheme="minorHAnsi"/>
          <w:i w:val="0"/>
          <w:color w:val="auto"/>
          <w:szCs w:val="24"/>
        </w:rPr>
      </w:pPr>
      <w:r w:rsidRPr="001F5812">
        <w:rPr>
          <w:rFonts w:asciiTheme="minorHAnsi" w:hAnsiTheme="minorHAnsi" w:cstheme="minorHAnsi"/>
          <w:i w:val="0"/>
          <w:color w:val="auto"/>
          <w:szCs w:val="24"/>
        </w:rPr>
        <w:t xml:space="preserve">Another source of information regarding service quality is outcomes. It is unclear the extent to which outcome data is readily available, although the waiver application does state that providers develop “descriptions of what is needed to consider each activity accomplished….” However, if any outcome data is readily available or could feasibly be made available, the waiver application should </w:t>
      </w:r>
      <w:r w:rsidR="00555EC0" w:rsidRPr="001F5812">
        <w:rPr>
          <w:rFonts w:asciiTheme="minorHAnsi" w:hAnsiTheme="minorHAnsi" w:cstheme="minorHAnsi"/>
          <w:i w:val="0"/>
          <w:color w:val="auto"/>
          <w:szCs w:val="24"/>
        </w:rPr>
        <w:t xml:space="preserve">include performance measures that speak to </w:t>
      </w:r>
      <w:r w:rsidR="002A485D" w:rsidRPr="001F5812">
        <w:rPr>
          <w:rFonts w:asciiTheme="minorHAnsi" w:hAnsiTheme="minorHAnsi" w:cstheme="minorHAnsi"/>
          <w:i w:val="0"/>
          <w:color w:val="auto"/>
          <w:szCs w:val="24"/>
        </w:rPr>
        <w:t>the data</w:t>
      </w:r>
      <w:r w:rsidR="00555EC0" w:rsidRPr="001F5812">
        <w:rPr>
          <w:rFonts w:asciiTheme="minorHAnsi" w:hAnsiTheme="minorHAnsi" w:cstheme="minorHAnsi"/>
          <w:i w:val="0"/>
          <w:color w:val="auto"/>
          <w:szCs w:val="24"/>
        </w:rPr>
        <w:t>.</w:t>
      </w:r>
    </w:p>
    <w:p w14:paraId="74F45715" w14:textId="40EFC350" w:rsidR="002C3522" w:rsidRPr="001F5812" w:rsidRDefault="002C3522" w:rsidP="000B0FA4">
      <w:pPr>
        <w:spacing w:after="240" w:line="240" w:lineRule="auto"/>
        <w:outlineLvl w:val="1"/>
        <w:rPr>
          <w:rFonts w:asciiTheme="minorHAnsi" w:hAnsiTheme="minorHAnsi" w:cstheme="minorHAnsi"/>
          <w:b/>
          <w:i w:val="0"/>
          <w:color w:val="auto"/>
          <w:szCs w:val="24"/>
          <w:u w:val="single"/>
        </w:rPr>
      </w:pPr>
      <w:r w:rsidRPr="001F5812">
        <w:rPr>
          <w:rFonts w:asciiTheme="minorHAnsi" w:hAnsiTheme="minorHAnsi" w:cstheme="minorHAnsi"/>
          <w:b/>
          <w:i w:val="0"/>
          <w:color w:val="auto"/>
          <w:szCs w:val="24"/>
          <w:u w:val="single"/>
        </w:rPr>
        <w:t xml:space="preserve">Appendix </w:t>
      </w:r>
      <w:r w:rsidR="00655FED" w:rsidRPr="001F5812">
        <w:rPr>
          <w:rFonts w:asciiTheme="minorHAnsi" w:hAnsiTheme="minorHAnsi" w:cstheme="minorHAnsi"/>
          <w:b/>
          <w:i w:val="0"/>
          <w:color w:val="auto"/>
          <w:szCs w:val="24"/>
          <w:u w:val="single"/>
        </w:rPr>
        <w:t>E</w:t>
      </w:r>
      <w:r w:rsidR="00773041" w:rsidRPr="001F5812">
        <w:rPr>
          <w:rFonts w:asciiTheme="minorHAnsi" w:hAnsiTheme="minorHAnsi" w:cstheme="minorHAnsi"/>
          <w:b/>
          <w:i w:val="0"/>
          <w:color w:val="auto"/>
          <w:szCs w:val="24"/>
          <w:u w:val="single"/>
        </w:rPr>
        <w:t>-1</w:t>
      </w:r>
      <w:r w:rsidRPr="001F5812">
        <w:rPr>
          <w:rFonts w:asciiTheme="minorHAnsi" w:hAnsiTheme="minorHAnsi" w:cstheme="minorHAnsi"/>
          <w:b/>
          <w:i w:val="0"/>
          <w:color w:val="auto"/>
          <w:szCs w:val="24"/>
          <w:u w:val="single"/>
        </w:rPr>
        <w:t xml:space="preserve">: </w:t>
      </w:r>
      <w:r w:rsidR="00655FED" w:rsidRPr="001F5812">
        <w:rPr>
          <w:rFonts w:asciiTheme="minorHAnsi" w:hAnsiTheme="minorHAnsi" w:cstheme="minorHAnsi"/>
          <w:b/>
          <w:i w:val="0"/>
          <w:color w:val="auto"/>
          <w:szCs w:val="24"/>
          <w:u w:val="single"/>
        </w:rPr>
        <w:t>Participant Direction of Services</w:t>
      </w:r>
      <w:r w:rsidR="007B7994" w:rsidRPr="001F5812">
        <w:rPr>
          <w:rFonts w:asciiTheme="minorHAnsi" w:hAnsiTheme="minorHAnsi" w:cstheme="minorHAnsi"/>
          <w:b/>
          <w:i w:val="0"/>
          <w:color w:val="auto"/>
          <w:szCs w:val="24"/>
          <w:u w:val="single"/>
        </w:rPr>
        <w:t xml:space="preserve"> </w:t>
      </w:r>
      <w:r w:rsidR="00773041" w:rsidRPr="001F5812">
        <w:rPr>
          <w:rFonts w:asciiTheme="minorHAnsi" w:hAnsiTheme="minorHAnsi" w:cstheme="minorHAnsi"/>
          <w:b/>
          <w:i w:val="0"/>
          <w:color w:val="auto"/>
          <w:szCs w:val="24"/>
          <w:u w:val="single"/>
        </w:rPr>
        <w:t>- Overview</w:t>
      </w:r>
      <w:r w:rsidR="007C7817" w:rsidRPr="001F5812">
        <w:rPr>
          <w:rFonts w:asciiTheme="minorHAnsi" w:hAnsiTheme="minorHAnsi" w:cstheme="minorHAnsi"/>
          <w:b/>
          <w:i w:val="0"/>
          <w:color w:val="auto"/>
          <w:szCs w:val="24"/>
          <w:u w:val="single"/>
        </w:rPr>
        <w:t xml:space="preserve"> </w:t>
      </w:r>
    </w:p>
    <w:p w14:paraId="17272671" w14:textId="08C853AB" w:rsidR="002C3522" w:rsidRPr="001F5812" w:rsidRDefault="00784C5A" w:rsidP="00B56862">
      <w:pPr>
        <w:pStyle w:val="ListParagraph"/>
        <w:numPr>
          <w:ilvl w:val="0"/>
          <w:numId w:val="28"/>
        </w:numPr>
        <w:spacing w:after="240" w:line="240" w:lineRule="auto"/>
        <w:rPr>
          <w:rFonts w:asciiTheme="minorHAnsi" w:hAnsiTheme="minorHAnsi" w:cstheme="minorHAnsi"/>
          <w:b/>
          <w:i w:val="0"/>
          <w:color w:val="auto"/>
          <w:szCs w:val="24"/>
        </w:rPr>
      </w:pPr>
      <w:r w:rsidRPr="001F5812">
        <w:rPr>
          <w:rFonts w:asciiTheme="minorHAnsi" w:hAnsiTheme="minorHAnsi" w:cstheme="minorHAnsi"/>
          <w:b/>
          <w:i w:val="0"/>
          <w:color w:val="auto"/>
          <w:szCs w:val="24"/>
        </w:rPr>
        <w:t>“</w:t>
      </w:r>
      <w:r w:rsidR="00DC26A6" w:rsidRPr="001F5812">
        <w:rPr>
          <w:rFonts w:asciiTheme="minorHAnsi" w:hAnsiTheme="minorHAnsi" w:cstheme="minorHAnsi"/>
          <w:b/>
          <w:i w:val="0"/>
          <w:color w:val="auto"/>
          <w:szCs w:val="24"/>
        </w:rPr>
        <w:t>Election of Participant Direction</w:t>
      </w:r>
      <w:r w:rsidRPr="001F5812">
        <w:rPr>
          <w:rFonts w:asciiTheme="minorHAnsi" w:hAnsiTheme="minorHAnsi" w:cstheme="minorHAnsi"/>
          <w:b/>
          <w:i w:val="0"/>
          <w:color w:val="auto"/>
          <w:szCs w:val="24"/>
        </w:rPr>
        <w:t>” Section:</w:t>
      </w:r>
      <w:r w:rsidR="00DC26A6" w:rsidRPr="001F5812">
        <w:rPr>
          <w:rFonts w:asciiTheme="minorHAnsi" w:hAnsiTheme="minorHAnsi" w:cstheme="minorHAnsi"/>
          <w:b/>
          <w:i w:val="0"/>
          <w:color w:val="auto"/>
          <w:szCs w:val="24"/>
        </w:rPr>
        <w:t xml:space="preserve"> </w:t>
      </w:r>
      <w:r w:rsidRPr="001F5812">
        <w:rPr>
          <w:rFonts w:asciiTheme="minorHAnsi" w:hAnsiTheme="minorHAnsi" w:cstheme="minorHAnsi"/>
          <w:b/>
          <w:i w:val="0"/>
          <w:color w:val="auto"/>
          <w:szCs w:val="24"/>
        </w:rPr>
        <w:t>T</w:t>
      </w:r>
      <w:r w:rsidR="00655FED" w:rsidRPr="001F5812">
        <w:rPr>
          <w:rFonts w:asciiTheme="minorHAnsi" w:hAnsiTheme="minorHAnsi" w:cstheme="minorHAnsi"/>
          <w:b/>
          <w:i w:val="0"/>
          <w:color w:val="auto"/>
          <w:szCs w:val="24"/>
        </w:rPr>
        <w:t>he Board recommends that the wording be changed from “intellectual” disability to “developmental” disability.</w:t>
      </w:r>
      <w:r w:rsidR="007C7817" w:rsidRPr="001F5812">
        <w:rPr>
          <w:rFonts w:asciiTheme="minorHAnsi" w:hAnsiTheme="minorHAnsi" w:cstheme="minorHAnsi"/>
          <w:b/>
          <w:i w:val="0"/>
          <w:color w:val="auto"/>
          <w:szCs w:val="24"/>
        </w:rPr>
        <w:t xml:space="preserve"> </w:t>
      </w:r>
    </w:p>
    <w:p w14:paraId="097A0CF7" w14:textId="3B6CF3ED" w:rsidR="00655FED" w:rsidRPr="001F5812" w:rsidRDefault="00655FED" w:rsidP="00B56862">
      <w:pPr>
        <w:spacing w:after="240" w:line="240" w:lineRule="auto"/>
        <w:ind w:left="360"/>
        <w:rPr>
          <w:rFonts w:asciiTheme="minorHAnsi" w:hAnsiTheme="minorHAnsi" w:cstheme="minorHAnsi"/>
          <w:i w:val="0"/>
          <w:color w:val="auto"/>
          <w:szCs w:val="24"/>
        </w:rPr>
      </w:pPr>
      <w:r w:rsidRPr="001F5812">
        <w:rPr>
          <w:rFonts w:asciiTheme="minorHAnsi" w:hAnsiTheme="minorHAnsi" w:cstheme="minorHAnsi"/>
          <w:i w:val="0"/>
          <w:color w:val="auto"/>
          <w:szCs w:val="24"/>
        </w:rPr>
        <w:t>Likely a hold-over from the ID waiver, this language is out of date.</w:t>
      </w:r>
      <w:r w:rsidR="007C7817" w:rsidRPr="001F5812">
        <w:rPr>
          <w:rFonts w:asciiTheme="minorHAnsi" w:hAnsiTheme="minorHAnsi" w:cstheme="minorHAnsi"/>
          <w:i w:val="0"/>
          <w:color w:val="auto"/>
          <w:szCs w:val="24"/>
        </w:rPr>
        <w:t xml:space="preserve"> </w:t>
      </w:r>
      <w:r w:rsidRPr="001F5812">
        <w:rPr>
          <w:rFonts w:asciiTheme="minorHAnsi" w:hAnsiTheme="minorHAnsi" w:cstheme="minorHAnsi"/>
          <w:i w:val="0"/>
          <w:color w:val="auto"/>
          <w:szCs w:val="24"/>
        </w:rPr>
        <w:t>There are other developmental disabilities that could affect the individual’s ability to self-direct services in whole or in part.</w:t>
      </w:r>
      <w:r w:rsidR="007C7817" w:rsidRPr="001F5812">
        <w:rPr>
          <w:rFonts w:asciiTheme="minorHAnsi" w:hAnsiTheme="minorHAnsi" w:cstheme="minorHAnsi"/>
          <w:i w:val="0"/>
          <w:color w:val="auto"/>
          <w:szCs w:val="24"/>
        </w:rPr>
        <w:t xml:space="preserve"> </w:t>
      </w:r>
      <w:r w:rsidRPr="001F5812">
        <w:rPr>
          <w:rFonts w:asciiTheme="minorHAnsi" w:hAnsiTheme="minorHAnsi" w:cstheme="minorHAnsi"/>
          <w:i w:val="0"/>
          <w:color w:val="auto"/>
          <w:szCs w:val="24"/>
        </w:rPr>
        <w:t xml:space="preserve">For example, some persons with an Autism Spectrum Disorder or a traumatic brain injury may have challenges that require or would lead them to prefer to designate an Employer of Record rather than undertaking the EOR responsibilities themselves. </w:t>
      </w:r>
    </w:p>
    <w:p w14:paraId="44345DF5" w14:textId="316D75A9" w:rsidR="00ED2B1C" w:rsidRPr="001F5812" w:rsidRDefault="00F32B13" w:rsidP="00B56862">
      <w:pPr>
        <w:pStyle w:val="ListParagraph"/>
        <w:numPr>
          <w:ilvl w:val="0"/>
          <w:numId w:val="28"/>
        </w:numPr>
        <w:spacing w:after="240" w:line="240" w:lineRule="auto"/>
        <w:rPr>
          <w:rFonts w:asciiTheme="minorHAnsi" w:hAnsiTheme="minorHAnsi" w:cstheme="minorHAnsi"/>
          <w:b/>
          <w:i w:val="0"/>
          <w:color w:val="auto"/>
          <w:szCs w:val="24"/>
        </w:rPr>
      </w:pPr>
      <w:r w:rsidRPr="001F5812">
        <w:rPr>
          <w:rFonts w:asciiTheme="minorHAnsi" w:hAnsiTheme="minorHAnsi" w:cstheme="minorHAnsi"/>
          <w:b/>
          <w:i w:val="0"/>
          <w:color w:val="auto"/>
          <w:szCs w:val="24"/>
        </w:rPr>
        <w:lastRenderedPageBreak/>
        <w:t>“</w:t>
      </w:r>
      <w:r w:rsidR="00ED2B1C" w:rsidRPr="001F5812">
        <w:rPr>
          <w:rFonts w:asciiTheme="minorHAnsi" w:hAnsiTheme="minorHAnsi" w:cstheme="minorHAnsi"/>
          <w:b/>
          <w:i w:val="0"/>
          <w:color w:val="auto"/>
          <w:szCs w:val="24"/>
        </w:rPr>
        <w:t>Provision of Financial Management Services</w:t>
      </w:r>
      <w:r w:rsidRPr="001F5812">
        <w:rPr>
          <w:rFonts w:asciiTheme="minorHAnsi" w:hAnsiTheme="minorHAnsi" w:cstheme="minorHAnsi"/>
          <w:b/>
          <w:i w:val="0"/>
          <w:color w:val="auto"/>
          <w:szCs w:val="24"/>
        </w:rPr>
        <w:t>” Section:</w:t>
      </w:r>
      <w:r w:rsidR="00ED2B1C" w:rsidRPr="001F5812">
        <w:rPr>
          <w:rFonts w:asciiTheme="minorHAnsi" w:hAnsiTheme="minorHAnsi" w:cstheme="minorHAnsi"/>
          <w:b/>
          <w:i w:val="0"/>
          <w:color w:val="auto"/>
          <w:szCs w:val="24"/>
        </w:rPr>
        <w:t xml:space="preserve"> </w:t>
      </w:r>
      <w:r w:rsidRPr="001F5812">
        <w:rPr>
          <w:rFonts w:asciiTheme="minorHAnsi" w:hAnsiTheme="minorHAnsi" w:cstheme="minorHAnsi"/>
          <w:b/>
          <w:i w:val="0"/>
          <w:color w:val="auto"/>
          <w:szCs w:val="24"/>
        </w:rPr>
        <w:t>T</w:t>
      </w:r>
      <w:r w:rsidR="00ED2B1C" w:rsidRPr="001F5812">
        <w:rPr>
          <w:rFonts w:asciiTheme="minorHAnsi" w:hAnsiTheme="minorHAnsi" w:cstheme="minorHAnsi"/>
          <w:b/>
          <w:i w:val="0"/>
          <w:color w:val="auto"/>
          <w:szCs w:val="24"/>
        </w:rPr>
        <w:t>he fiscal agent should be changed from PPL to Consumer Direct Care Network which currently holds the fiscal broker contract.</w:t>
      </w:r>
    </w:p>
    <w:p w14:paraId="57CEE5EB" w14:textId="4924B312" w:rsidR="00ED2B1C" w:rsidRPr="001F5812" w:rsidRDefault="00ED2B1C" w:rsidP="000B0FA4">
      <w:pPr>
        <w:spacing w:after="240" w:line="240" w:lineRule="auto"/>
        <w:outlineLvl w:val="1"/>
        <w:rPr>
          <w:rFonts w:asciiTheme="minorHAnsi" w:hAnsiTheme="minorHAnsi" w:cstheme="minorHAnsi"/>
          <w:b/>
          <w:i w:val="0"/>
          <w:color w:val="auto"/>
          <w:szCs w:val="24"/>
          <w:u w:val="single"/>
        </w:rPr>
      </w:pPr>
      <w:r w:rsidRPr="001F5812">
        <w:rPr>
          <w:rFonts w:asciiTheme="minorHAnsi" w:hAnsiTheme="minorHAnsi" w:cstheme="minorHAnsi"/>
          <w:b/>
          <w:i w:val="0"/>
          <w:color w:val="auto"/>
          <w:szCs w:val="24"/>
          <w:u w:val="single"/>
        </w:rPr>
        <w:t>Appendix F</w:t>
      </w:r>
      <w:r w:rsidR="009013AE" w:rsidRPr="001F5812">
        <w:rPr>
          <w:rFonts w:asciiTheme="minorHAnsi" w:hAnsiTheme="minorHAnsi" w:cstheme="minorHAnsi"/>
          <w:b/>
          <w:i w:val="0"/>
          <w:color w:val="auto"/>
          <w:szCs w:val="24"/>
          <w:u w:val="single"/>
        </w:rPr>
        <w:t>-1</w:t>
      </w:r>
      <w:r w:rsidRPr="001F5812">
        <w:rPr>
          <w:rFonts w:asciiTheme="minorHAnsi" w:hAnsiTheme="minorHAnsi" w:cstheme="minorHAnsi"/>
          <w:b/>
          <w:i w:val="0"/>
          <w:color w:val="auto"/>
          <w:szCs w:val="24"/>
          <w:u w:val="single"/>
        </w:rPr>
        <w:t>:</w:t>
      </w:r>
      <w:r w:rsidR="007C7817" w:rsidRPr="001F5812">
        <w:rPr>
          <w:rFonts w:asciiTheme="minorHAnsi" w:hAnsiTheme="minorHAnsi" w:cstheme="minorHAnsi"/>
          <w:b/>
          <w:i w:val="0"/>
          <w:color w:val="auto"/>
          <w:szCs w:val="24"/>
          <w:u w:val="single"/>
        </w:rPr>
        <w:t xml:space="preserve"> </w:t>
      </w:r>
      <w:r w:rsidRPr="001F5812">
        <w:rPr>
          <w:rFonts w:asciiTheme="minorHAnsi" w:hAnsiTheme="minorHAnsi" w:cstheme="minorHAnsi"/>
          <w:b/>
          <w:i w:val="0"/>
          <w:color w:val="auto"/>
          <w:szCs w:val="24"/>
          <w:u w:val="single"/>
        </w:rPr>
        <w:t xml:space="preserve">Participant </w:t>
      </w:r>
      <w:r w:rsidR="00996A78" w:rsidRPr="001F5812">
        <w:rPr>
          <w:rFonts w:asciiTheme="minorHAnsi" w:hAnsiTheme="minorHAnsi" w:cstheme="minorHAnsi"/>
          <w:b/>
          <w:i w:val="0"/>
          <w:color w:val="auto"/>
          <w:szCs w:val="24"/>
          <w:u w:val="single"/>
        </w:rPr>
        <w:t>Right</w:t>
      </w:r>
      <w:r w:rsidR="009013AE" w:rsidRPr="001F5812">
        <w:rPr>
          <w:rFonts w:asciiTheme="minorHAnsi" w:hAnsiTheme="minorHAnsi" w:cstheme="minorHAnsi"/>
          <w:b/>
          <w:i w:val="0"/>
          <w:color w:val="auto"/>
          <w:szCs w:val="24"/>
          <w:u w:val="single"/>
        </w:rPr>
        <w:t>s</w:t>
      </w:r>
      <w:r w:rsidR="007B7994" w:rsidRPr="001F5812">
        <w:rPr>
          <w:rFonts w:asciiTheme="minorHAnsi" w:hAnsiTheme="minorHAnsi" w:cstheme="minorHAnsi"/>
          <w:b/>
          <w:i w:val="0"/>
          <w:color w:val="auto"/>
          <w:szCs w:val="24"/>
          <w:u w:val="single"/>
        </w:rPr>
        <w:t xml:space="preserve"> </w:t>
      </w:r>
      <w:r w:rsidR="00985E81" w:rsidRPr="001F5812">
        <w:rPr>
          <w:rFonts w:asciiTheme="minorHAnsi" w:hAnsiTheme="minorHAnsi" w:cstheme="minorHAnsi"/>
          <w:b/>
          <w:i w:val="0"/>
          <w:color w:val="auto"/>
          <w:szCs w:val="24"/>
          <w:u w:val="single"/>
        </w:rPr>
        <w:t>-</w:t>
      </w:r>
      <w:r w:rsidR="00996A78" w:rsidRPr="001F5812">
        <w:rPr>
          <w:rFonts w:asciiTheme="minorHAnsi" w:hAnsiTheme="minorHAnsi" w:cstheme="minorHAnsi"/>
          <w:b/>
          <w:i w:val="0"/>
          <w:color w:val="auto"/>
          <w:szCs w:val="24"/>
          <w:u w:val="single"/>
        </w:rPr>
        <w:t xml:space="preserve"> </w:t>
      </w:r>
      <w:r w:rsidR="009013AE" w:rsidRPr="001F5812">
        <w:rPr>
          <w:rFonts w:asciiTheme="minorHAnsi" w:hAnsiTheme="minorHAnsi" w:cstheme="minorHAnsi"/>
          <w:b/>
          <w:i w:val="0"/>
          <w:color w:val="auto"/>
          <w:szCs w:val="24"/>
          <w:u w:val="single"/>
        </w:rPr>
        <w:t>Opportunity to Request a Fair Hearing</w:t>
      </w:r>
    </w:p>
    <w:p w14:paraId="2D4DE5CD" w14:textId="1FF69FAB" w:rsidR="00996A78" w:rsidRPr="001F5812" w:rsidRDefault="00115AE1" w:rsidP="001F5812">
      <w:pPr>
        <w:pStyle w:val="ListParagraph"/>
        <w:numPr>
          <w:ilvl w:val="0"/>
          <w:numId w:val="28"/>
        </w:numPr>
        <w:spacing w:after="240" w:line="240" w:lineRule="auto"/>
        <w:rPr>
          <w:rFonts w:asciiTheme="minorHAnsi" w:hAnsiTheme="minorHAnsi" w:cstheme="minorHAnsi"/>
          <w:b/>
          <w:i w:val="0"/>
          <w:color w:val="auto"/>
          <w:szCs w:val="24"/>
        </w:rPr>
      </w:pPr>
      <w:r w:rsidRPr="001F5812">
        <w:rPr>
          <w:rFonts w:asciiTheme="minorHAnsi" w:hAnsiTheme="minorHAnsi" w:cstheme="minorHAnsi"/>
          <w:b/>
          <w:i w:val="0"/>
          <w:color w:val="auto"/>
          <w:szCs w:val="24"/>
        </w:rPr>
        <w:t xml:space="preserve">“Procedures for Offering Opportunity to Request a Fair Hearing” Section: </w:t>
      </w:r>
      <w:r w:rsidR="00996A78" w:rsidRPr="001F5812">
        <w:rPr>
          <w:rFonts w:asciiTheme="minorHAnsi" w:hAnsiTheme="minorHAnsi" w:cstheme="minorHAnsi"/>
          <w:b/>
          <w:i w:val="0"/>
          <w:color w:val="auto"/>
          <w:szCs w:val="24"/>
        </w:rPr>
        <w:t xml:space="preserve">The Board recommends reconsideration of two of the items (# 6 and </w:t>
      </w:r>
      <w:r w:rsidR="007B7994" w:rsidRPr="001F5812">
        <w:rPr>
          <w:rFonts w:asciiTheme="minorHAnsi" w:hAnsiTheme="minorHAnsi" w:cstheme="minorHAnsi"/>
          <w:b/>
          <w:i w:val="0"/>
          <w:color w:val="auto"/>
          <w:szCs w:val="24"/>
        </w:rPr>
        <w:t>#</w:t>
      </w:r>
      <w:r w:rsidR="00996A78" w:rsidRPr="001F5812">
        <w:rPr>
          <w:rFonts w:asciiTheme="minorHAnsi" w:hAnsiTheme="minorHAnsi" w:cstheme="minorHAnsi"/>
          <w:b/>
          <w:i w:val="0"/>
          <w:color w:val="auto"/>
          <w:szCs w:val="24"/>
        </w:rPr>
        <w:t>7) in the exception list for advance notification of adverse action.</w:t>
      </w:r>
      <w:r w:rsidR="007C7817" w:rsidRPr="001F5812">
        <w:rPr>
          <w:rFonts w:asciiTheme="minorHAnsi" w:hAnsiTheme="minorHAnsi" w:cstheme="minorHAnsi"/>
          <w:b/>
          <w:i w:val="0"/>
          <w:color w:val="auto"/>
          <w:szCs w:val="24"/>
        </w:rPr>
        <w:t xml:space="preserve"> </w:t>
      </w:r>
    </w:p>
    <w:p w14:paraId="67AB3B52" w14:textId="2564ED5B" w:rsidR="00996A78" w:rsidRPr="001F5812" w:rsidRDefault="00996A78" w:rsidP="00B56862">
      <w:pPr>
        <w:spacing w:after="240" w:line="240" w:lineRule="auto"/>
        <w:ind w:left="360"/>
        <w:rPr>
          <w:rFonts w:asciiTheme="minorHAnsi" w:hAnsiTheme="minorHAnsi" w:cstheme="minorHAnsi"/>
          <w:i w:val="0"/>
          <w:color w:val="auto"/>
          <w:szCs w:val="24"/>
        </w:rPr>
      </w:pPr>
      <w:r w:rsidRPr="001F5812">
        <w:rPr>
          <w:rFonts w:asciiTheme="minorHAnsi" w:hAnsiTheme="minorHAnsi" w:cstheme="minorHAnsi"/>
          <w:i w:val="0"/>
          <w:color w:val="auto"/>
          <w:szCs w:val="24"/>
        </w:rPr>
        <w:t>With respect to #6</w:t>
      </w:r>
      <w:r w:rsidR="00091135" w:rsidRPr="001F5812">
        <w:rPr>
          <w:rFonts w:asciiTheme="minorHAnsi" w:hAnsiTheme="minorHAnsi" w:cstheme="minorHAnsi"/>
          <w:i w:val="0"/>
          <w:color w:val="auto"/>
          <w:szCs w:val="24"/>
        </w:rPr>
        <w:t>, the</w:t>
      </w:r>
      <w:r w:rsidRPr="001F5812">
        <w:rPr>
          <w:rFonts w:asciiTheme="minorHAnsi" w:hAnsiTheme="minorHAnsi" w:cstheme="minorHAnsi"/>
          <w:color w:val="auto"/>
          <w:szCs w:val="24"/>
        </w:rPr>
        <w:t xml:space="preserve"> individual's physician prescribes a change in the level of care,</w:t>
      </w:r>
      <w:r w:rsidRPr="001F5812">
        <w:rPr>
          <w:rFonts w:asciiTheme="minorHAnsi" w:hAnsiTheme="minorHAnsi" w:cstheme="minorHAnsi"/>
          <w:i w:val="0"/>
          <w:color w:val="auto"/>
          <w:szCs w:val="24"/>
        </w:rPr>
        <w:t xml:space="preserve"> the individual may not agree with the recommendation of his physician and may seek a second opinion on the appropriateness of care or services.</w:t>
      </w:r>
      <w:r w:rsidR="007C7817" w:rsidRPr="001F5812">
        <w:rPr>
          <w:rFonts w:asciiTheme="minorHAnsi" w:hAnsiTheme="minorHAnsi" w:cstheme="minorHAnsi"/>
          <w:i w:val="0"/>
          <w:color w:val="auto"/>
          <w:szCs w:val="24"/>
        </w:rPr>
        <w:t xml:space="preserve"> </w:t>
      </w:r>
      <w:r w:rsidRPr="001F5812">
        <w:rPr>
          <w:rFonts w:asciiTheme="minorHAnsi" w:hAnsiTheme="minorHAnsi" w:cstheme="minorHAnsi"/>
          <w:i w:val="0"/>
          <w:color w:val="auto"/>
          <w:szCs w:val="24"/>
        </w:rPr>
        <w:t>The 10 day advance notice should be afforded to individuals so that they have an opportunity to seek additional information or clarification from their or another physician prior to service termination.</w:t>
      </w:r>
    </w:p>
    <w:p w14:paraId="6147A305" w14:textId="137BF518" w:rsidR="00996A78" w:rsidRPr="001F5812" w:rsidRDefault="00996A78" w:rsidP="00B56862">
      <w:pPr>
        <w:spacing w:after="240" w:line="240" w:lineRule="auto"/>
        <w:ind w:left="360"/>
        <w:rPr>
          <w:rFonts w:asciiTheme="minorHAnsi" w:hAnsiTheme="minorHAnsi" w:cstheme="minorHAnsi"/>
          <w:i w:val="0"/>
          <w:color w:val="auto"/>
          <w:szCs w:val="24"/>
        </w:rPr>
      </w:pPr>
      <w:r w:rsidRPr="001F5812">
        <w:rPr>
          <w:rFonts w:asciiTheme="minorHAnsi" w:hAnsiTheme="minorHAnsi" w:cstheme="minorHAnsi"/>
          <w:i w:val="0"/>
          <w:color w:val="auto"/>
          <w:szCs w:val="24"/>
        </w:rPr>
        <w:t xml:space="preserve">With respect to #7. </w:t>
      </w:r>
      <w:r w:rsidRPr="001F5812">
        <w:rPr>
          <w:rFonts w:asciiTheme="minorHAnsi" w:hAnsiTheme="minorHAnsi" w:cstheme="minorHAnsi"/>
          <w:color w:val="auto"/>
          <w:szCs w:val="24"/>
        </w:rPr>
        <w:t>When the individual's request for admission into a Medicaid-covered service or when the individual's request for an increase in a Medicaid-covered service is denied or not acted upon promptly for any reason, i.e., diagnostic or functional eligibility, funding, no provider</w:t>
      </w:r>
      <w:r w:rsidRPr="001F5812">
        <w:rPr>
          <w:rFonts w:asciiTheme="minorHAnsi" w:hAnsiTheme="minorHAnsi" w:cstheme="minorHAnsi"/>
          <w:i w:val="0"/>
          <w:color w:val="auto"/>
          <w:szCs w:val="24"/>
        </w:rPr>
        <w:t>¸ there is also no reason that advance notice should not be provided to the individual so that she can seek assistance, particularly with respect to locating a provider.</w:t>
      </w:r>
      <w:r w:rsidR="007C7817" w:rsidRPr="001F5812">
        <w:rPr>
          <w:rFonts w:asciiTheme="minorHAnsi" w:hAnsiTheme="minorHAnsi" w:cstheme="minorHAnsi"/>
          <w:i w:val="0"/>
          <w:color w:val="auto"/>
          <w:szCs w:val="24"/>
        </w:rPr>
        <w:t xml:space="preserve"> </w:t>
      </w:r>
    </w:p>
    <w:p w14:paraId="1498A57C" w14:textId="0A90AB6E" w:rsidR="00996A78" w:rsidRPr="001F5812" w:rsidRDefault="00996A78" w:rsidP="00B56862">
      <w:pPr>
        <w:spacing w:after="240" w:line="240" w:lineRule="auto"/>
        <w:ind w:left="360"/>
        <w:rPr>
          <w:rFonts w:asciiTheme="minorHAnsi" w:hAnsiTheme="minorHAnsi" w:cstheme="minorHAnsi"/>
          <w:i w:val="0"/>
          <w:color w:val="auto"/>
          <w:szCs w:val="24"/>
        </w:rPr>
      </w:pPr>
      <w:r w:rsidRPr="001F5812">
        <w:rPr>
          <w:rFonts w:asciiTheme="minorHAnsi" w:hAnsiTheme="minorHAnsi" w:cstheme="minorHAnsi"/>
          <w:i w:val="0"/>
          <w:color w:val="auto"/>
          <w:szCs w:val="24"/>
        </w:rPr>
        <w:t>Unless the situation is an emergency, advance notice of adverse action should always be provided.</w:t>
      </w:r>
    </w:p>
    <w:p w14:paraId="6402DB22" w14:textId="35FD5884" w:rsidR="00890491" w:rsidRPr="001F5812" w:rsidRDefault="00890491" w:rsidP="000B0FA4">
      <w:pPr>
        <w:spacing w:after="240" w:line="240" w:lineRule="auto"/>
        <w:outlineLvl w:val="1"/>
        <w:rPr>
          <w:rFonts w:asciiTheme="minorHAnsi" w:hAnsiTheme="minorHAnsi" w:cstheme="minorHAnsi"/>
          <w:b/>
          <w:i w:val="0"/>
          <w:color w:val="auto"/>
          <w:szCs w:val="24"/>
          <w:u w:val="single"/>
        </w:rPr>
      </w:pPr>
      <w:r w:rsidRPr="001F5812">
        <w:rPr>
          <w:rFonts w:asciiTheme="minorHAnsi" w:hAnsiTheme="minorHAnsi" w:cstheme="minorHAnsi"/>
          <w:b/>
          <w:i w:val="0"/>
          <w:color w:val="auto"/>
          <w:szCs w:val="24"/>
          <w:u w:val="single"/>
        </w:rPr>
        <w:t>Appendix F-3: Participant Rights- State Grievance/Complaint System</w:t>
      </w:r>
    </w:p>
    <w:p w14:paraId="52FB3C54" w14:textId="2910D4B8" w:rsidR="00B73D8E" w:rsidRPr="001F5812" w:rsidRDefault="00890491" w:rsidP="001F5812">
      <w:pPr>
        <w:pStyle w:val="ListParagraph"/>
        <w:numPr>
          <w:ilvl w:val="0"/>
          <w:numId w:val="28"/>
        </w:numPr>
        <w:spacing w:after="240" w:line="240" w:lineRule="auto"/>
        <w:rPr>
          <w:rFonts w:asciiTheme="minorHAnsi" w:hAnsiTheme="minorHAnsi" w:cstheme="minorHAnsi"/>
          <w:b/>
          <w:i w:val="0"/>
          <w:color w:val="auto"/>
          <w:szCs w:val="24"/>
        </w:rPr>
      </w:pPr>
      <w:r w:rsidRPr="001F5812">
        <w:rPr>
          <w:rFonts w:asciiTheme="minorHAnsi" w:hAnsiTheme="minorHAnsi" w:cstheme="minorHAnsi"/>
          <w:b/>
          <w:i w:val="0"/>
          <w:color w:val="auto"/>
          <w:szCs w:val="24"/>
        </w:rPr>
        <w:t xml:space="preserve">“Description of System” </w:t>
      </w:r>
      <w:r w:rsidR="00244415" w:rsidRPr="001F5812">
        <w:rPr>
          <w:rFonts w:asciiTheme="minorHAnsi" w:hAnsiTheme="minorHAnsi" w:cstheme="minorHAnsi"/>
          <w:b/>
          <w:i w:val="0"/>
          <w:color w:val="auto"/>
          <w:szCs w:val="24"/>
        </w:rPr>
        <w:t>S</w:t>
      </w:r>
      <w:r w:rsidRPr="001F5812">
        <w:rPr>
          <w:rFonts w:asciiTheme="minorHAnsi" w:hAnsiTheme="minorHAnsi" w:cstheme="minorHAnsi"/>
          <w:b/>
          <w:i w:val="0"/>
          <w:color w:val="auto"/>
          <w:szCs w:val="24"/>
        </w:rPr>
        <w:t xml:space="preserve">ection: </w:t>
      </w:r>
      <w:r w:rsidR="00B73D8E" w:rsidRPr="001F5812">
        <w:rPr>
          <w:rFonts w:asciiTheme="minorHAnsi" w:hAnsiTheme="minorHAnsi" w:cstheme="minorHAnsi"/>
          <w:b/>
          <w:i w:val="0"/>
          <w:color w:val="auto"/>
          <w:szCs w:val="24"/>
        </w:rPr>
        <w:t xml:space="preserve">The Board recommends </w:t>
      </w:r>
      <w:r w:rsidR="000045D7" w:rsidRPr="001F5812">
        <w:rPr>
          <w:rFonts w:asciiTheme="minorHAnsi" w:hAnsiTheme="minorHAnsi" w:cstheme="minorHAnsi"/>
          <w:b/>
          <w:i w:val="0"/>
          <w:color w:val="auto"/>
          <w:szCs w:val="24"/>
        </w:rPr>
        <w:t xml:space="preserve">reviewing the grievance and complaint system verbiage for consistency. </w:t>
      </w:r>
    </w:p>
    <w:p w14:paraId="1FF3A754" w14:textId="39CBAEDE" w:rsidR="00B73D8E" w:rsidRPr="001F5812" w:rsidRDefault="000045D7" w:rsidP="00B56862">
      <w:pPr>
        <w:spacing w:after="240" w:line="240" w:lineRule="auto"/>
        <w:ind w:left="360"/>
        <w:rPr>
          <w:rFonts w:asciiTheme="minorHAnsi" w:hAnsiTheme="minorHAnsi" w:cstheme="minorHAnsi"/>
          <w:color w:val="auto"/>
          <w:szCs w:val="24"/>
        </w:rPr>
      </w:pPr>
      <w:r w:rsidRPr="001F5812">
        <w:rPr>
          <w:rFonts w:asciiTheme="minorHAnsi" w:hAnsiTheme="minorHAnsi" w:cstheme="minorHAnsi"/>
          <w:i w:val="0"/>
          <w:color w:val="auto"/>
          <w:szCs w:val="24"/>
        </w:rPr>
        <w:t>In 2016, the board recommended that all complaints and grievances be logged. The Board is pleased that this process was undertaken and that complaints are logged within 24 hours into the Waiver Complaint database. It is unclear whether this information is made public (redacted) or if any trend analysis is occurring.</w:t>
      </w:r>
      <w:r w:rsidR="007C7817" w:rsidRPr="001F5812">
        <w:rPr>
          <w:rFonts w:asciiTheme="minorHAnsi" w:hAnsiTheme="minorHAnsi" w:cstheme="minorHAnsi"/>
          <w:i w:val="0"/>
          <w:color w:val="auto"/>
          <w:szCs w:val="24"/>
        </w:rPr>
        <w:t xml:space="preserve"> </w:t>
      </w:r>
      <w:r w:rsidRPr="001F5812">
        <w:rPr>
          <w:rFonts w:asciiTheme="minorHAnsi" w:hAnsiTheme="minorHAnsi" w:cstheme="minorHAnsi"/>
          <w:i w:val="0"/>
          <w:color w:val="auto"/>
          <w:szCs w:val="24"/>
        </w:rPr>
        <w:t>The Operational Responsibility states the following:</w:t>
      </w:r>
      <w:r w:rsidR="007C7817" w:rsidRPr="001F5812">
        <w:rPr>
          <w:rFonts w:asciiTheme="minorHAnsi" w:hAnsiTheme="minorHAnsi" w:cstheme="minorHAnsi"/>
          <w:i w:val="0"/>
          <w:color w:val="auto"/>
          <w:szCs w:val="24"/>
        </w:rPr>
        <w:t xml:space="preserve"> </w:t>
      </w:r>
      <w:r w:rsidRPr="001F5812">
        <w:rPr>
          <w:rFonts w:asciiTheme="minorHAnsi" w:hAnsiTheme="minorHAnsi" w:cstheme="minorHAnsi"/>
          <w:i w:val="0"/>
          <w:color w:val="auto"/>
          <w:szCs w:val="24"/>
        </w:rPr>
        <w:t>“</w:t>
      </w:r>
      <w:r w:rsidR="00B73D8E" w:rsidRPr="001F5812">
        <w:rPr>
          <w:rFonts w:asciiTheme="minorHAnsi" w:hAnsiTheme="minorHAnsi" w:cstheme="minorHAnsi"/>
          <w:color w:val="auto"/>
          <w:szCs w:val="24"/>
        </w:rPr>
        <w:t>DMAS will refer all claims to DBHDS, which is “the primary agency that rece</w:t>
      </w:r>
      <w:r w:rsidRPr="001F5812">
        <w:rPr>
          <w:rFonts w:asciiTheme="minorHAnsi" w:hAnsiTheme="minorHAnsi" w:cstheme="minorHAnsi"/>
          <w:color w:val="auto"/>
          <w:szCs w:val="24"/>
        </w:rPr>
        <w:t>ives complaints and grievances.</w:t>
      </w:r>
      <w:r w:rsidR="00B73D8E" w:rsidRPr="001F5812">
        <w:rPr>
          <w:rFonts w:asciiTheme="minorHAnsi" w:hAnsiTheme="minorHAnsi" w:cstheme="minorHAnsi"/>
          <w:color w:val="auto"/>
          <w:szCs w:val="24"/>
        </w:rPr>
        <w:t xml:space="preserve"> DBHDS does not have a “formal complaint system” according to the applications, but all complaints are “taken seriously.” </w:t>
      </w:r>
    </w:p>
    <w:p w14:paraId="75C7A37C" w14:textId="1199411A" w:rsidR="000045D7" w:rsidRPr="001F5812" w:rsidRDefault="000045D7" w:rsidP="00B56862">
      <w:pPr>
        <w:pStyle w:val="Default"/>
        <w:spacing w:after="240"/>
        <w:ind w:left="360"/>
        <w:rPr>
          <w:rFonts w:asciiTheme="minorHAnsi" w:hAnsiTheme="minorHAnsi" w:cstheme="minorHAnsi"/>
        </w:rPr>
      </w:pPr>
      <w:r w:rsidRPr="001F5812">
        <w:rPr>
          <w:rFonts w:asciiTheme="minorHAnsi" w:hAnsiTheme="minorHAnsi" w:cstheme="minorHAnsi"/>
          <w:color w:val="auto"/>
        </w:rPr>
        <w:t xml:space="preserve">However, the description of the system </w:t>
      </w:r>
      <w:r w:rsidR="003D5108" w:rsidRPr="001F5812">
        <w:rPr>
          <w:rFonts w:asciiTheme="minorHAnsi" w:hAnsiTheme="minorHAnsi" w:cstheme="minorHAnsi"/>
          <w:color w:val="auto"/>
        </w:rPr>
        <w:t xml:space="preserve">later </w:t>
      </w:r>
      <w:r w:rsidRPr="001F5812">
        <w:rPr>
          <w:rFonts w:asciiTheme="minorHAnsi" w:hAnsiTheme="minorHAnsi" w:cstheme="minorHAnsi"/>
          <w:color w:val="auto"/>
        </w:rPr>
        <w:t>states:</w:t>
      </w:r>
      <w:r w:rsidR="007C7817" w:rsidRPr="001F5812">
        <w:rPr>
          <w:rFonts w:asciiTheme="minorHAnsi" w:hAnsiTheme="minorHAnsi" w:cstheme="minorHAnsi"/>
          <w:color w:val="auto"/>
        </w:rPr>
        <w:t xml:space="preserve"> </w:t>
      </w:r>
      <w:r w:rsidRPr="001F5812">
        <w:rPr>
          <w:rFonts w:asciiTheme="minorHAnsi" w:hAnsiTheme="minorHAnsi" w:cstheme="minorHAnsi"/>
          <w:i/>
        </w:rPr>
        <w:t xml:space="preserve">DMAS staff must respond to and log the grievance/complaint and resolution as soon as feasible (depending on the nature and extent of the complaint) into the Waiver Complaint Database. The mechanisms for the response may include follow-up by phone, letter, home visit, provider agency visit, QMR, and/or referral to another agency (e.g., DBHDS Office of Licensing, Department of Social Services Child Protective Services, Department of Aging and Rehabilitative Adult Protective Services, </w:t>
      </w:r>
      <w:r w:rsidRPr="001F5812">
        <w:rPr>
          <w:rFonts w:asciiTheme="minorHAnsi" w:hAnsiTheme="minorHAnsi" w:cstheme="minorHAnsi"/>
          <w:i/>
        </w:rPr>
        <w:lastRenderedPageBreak/>
        <w:t>Medicaid Fraud Control Unit, Health Department).</w:t>
      </w:r>
      <w:r w:rsidR="007C7817" w:rsidRPr="001F5812">
        <w:rPr>
          <w:rFonts w:asciiTheme="minorHAnsi" w:hAnsiTheme="minorHAnsi" w:cstheme="minorHAnsi"/>
        </w:rPr>
        <w:t xml:space="preserve"> </w:t>
      </w:r>
      <w:r w:rsidRPr="001F5812">
        <w:rPr>
          <w:rFonts w:asciiTheme="minorHAnsi" w:hAnsiTheme="minorHAnsi" w:cstheme="minorHAnsi"/>
        </w:rPr>
        <w:t xml:space="preserve">This is inconsistent with the statement that all claims are referred to </w:t>
      </w:r>
      <w:r w:rsidR="00173D37" w:rsidRPr="001F5812">
        <w:rPr>
          <w:rFonts w:asciiTheme="minorHAnsi" w:hAnsiTheme="minorHAnsi" w:cstheme="minorHAnsi"/>
        </w:rPr>
        <w:t>DBHDS</w:t>
      </w:r>
      <w:r w:rsidRPr="001F5812">
        <w:rPr>
          <w:rFonts w:asciiTheme="minorHAnsi" w:hAnsiTheme="minorHAnsi" w:cstheme="minorHAnsi"/>
        </w:rPr>
        <w:t>.</w:t>
      </w:r>
      <w:r w:rsidR="007C7817" w:rsidRPr="001F5812">
        <w:rPr>
          <w:rFonts w:asciiTheme="minorHAnsi" w:hAnsiTheme="minorHAnsi" w:cstheme="minorHAnsi"/>
        </w:rPr>
        <w:t xml:space="preserve"> </w:t>
      </w:r>
      <w:r w:rsidRPr="001F5812">
        <w:rPr>
          <w:rFonts w:asciiTheme="minorHAnsi" w:hAnsiTheme="minorHAnsi" w:cstheme="minorHAnsi"/>
        </w:rPr>
        <w:t>The system and processes should be clarified.</w:t>
      </w:r>
    </w:p>
    <w:p w14:paraId="7A2ED573" w14:textId="5E405793" w:rsidR="000045D7" w:rsidRPr="001F5812" w:rsidRDefault="000045D7" w:rsidP="000B0FA4">
      <w:pPr>
        <w:spacing w:after="240" w:line="240" w:lineRule="auto"/>
        <w:outlineLvl w:val="1"/>
        <w:rPr>
          <w:rFonts w:asciiTheme="minorHAnsi" w:hAnsiTheme="minorHAnsi" w:cstheme="minorHAnsi"/>
          <w:b/>
          <w:i w:val="0"/>
          <w:color w:val="auto"/>
          <w:szCs w:val="24"/>
          <w:u w:val="single"/>
        </w:rPr>
      </w:pPr>
      <w:r w:rsidRPr="001F5812">
        <w:rPr>
          <w:rFonts w:asciiTheme="minorHAnsi" w:hAnsiTheme="minorHAnsi" w:cstheme="minorHAnsi"/>
          <w:b/>
          <w:i w:val="0"/>
          <w:color w:val="auto"/>
          <w:szCs w:val="24"/>
          <w:u w:val="single"/>
        </w:rPr>
        <w:t>Appendix G</w:t>
      </w:r>
      <w:r w:rsidR="00D65C01" w:rsidRPr="001F5812">
        <w:rPr>
          <w:rFonts w:asciiTheme="minorHAnsi" w:hAnsiTheme="minorHAnsi" w:cstheme="minorHAnsi"/>
          <w:b/>
          <w:i w:val="0"/>
          <w:color w:val="auto"/>
          <w:szCs w:val="24"/>
          <w:u w:val="single"/>
        </w:rPr>
        <w:t>-1</w:t>
      </w:r>
      <w:r w:rsidRPr="001F5812">
        <w:rPr>
          <w:rFonts w:asciiTheme="minorHAnsi" w:hAnsiTheme="minorHAnsi" w:cstheme="minorHAnsi"/>
          <w:b/>
          <w:i w:val="0"/>
          <w:color w:val="auto"/>
          <w:szCs w:val="24"/>
          <w:u w:val="single"/>
        </w:rPr>
        <w:t>:</w:t>
      </w:r>
      <w:r w:rsidR="007C7817" w:rsidRPr="001F5812">
        <w:rPr>
          <w:rFonts w:asciiTheme="minorHAnsi" w:hAnsiTheme="minorHAnsi" w:cstheme="minorHAnsi"/>
          <w:b/>
          <w:i w:val="0"/>
          <w:color w:val="auto"/>
          <w:szCs w:val="24"/>
          <w:u w:val="single"/>
        </w:rPr>
        <w:t xml:space="preserve"> </w:t>
      </w:r>
      <w:r w:rsidRPr="001F5812">
        <w:rPr>
          <w:rFonts w:asciiTheme="minorHAnsi" w:hAnsiTheme="minorHAnsi" w:cstheme="minorHAnsi"/>
          <w:b/>
          <w:i w:val="0"/>
          <w:color w:val="auto"/>
          <w:szCs w:val="24"/>
          <w:u w:val="single"/>
        </w:rPr>
        <w:t xml:space="preserve">Response to Critical </w:t>
      </w:r>
      <w:r w:rsidR="00DA7E0D" w:rsidRPr="001F5812">
        <w:rPr>
          <w:rFonts w:asciiTheme="minorHAnsi" w:hAnsiTheme="minorHAnsi" w:cstheme="minorHAnsi"/>
          <w:b/>
          <w:i w:val="0"/>
          <w:color w:val="auto"/>
          <w:szCs w:val="24"/>
          <w:u w:val="single"/>
        </w:rPr>
        <w:t xml:space="preserve">Events or </w:t>
      </w:r>
      <w:r w:rsidRPr="001F5812">
        <w:rPr>
          <w:rFonts w:asciiTheme="minorHAnsi" w:hAnsiTheme="minorHAnsi" w:cstheme="minorHAnsi"/>
          <w:b/>
          <w:i w:val="0"/>
          <w:color w:val="auto"/>
          <w:szCs w:val="24"/>
          <w:u w:val="single"/>
        </w:rPr>
        <w:t>Incidents</w:t>
      </w:r>
    </w:p>
    <w:p w14:paraId="260E6A9F" w14:textId="77777777" w:rsidR="00655043" w:rsidRPr="001F5812" w:rsidRDefault="00655043" w:rsidP="001F5812">
      <w:pPr>
        <w:pStyle w:val="ListParagraph"/>
        <w:numPr>
          <w:ilvl w:val="0"/>
          <w:numId w:val="28"/>
        </w:numPr>
        <w:spacing w:after="240" w:line="240" w:lineRule="auto"/>
        <w:rPr>
          <w:rFonts w:asciiTheme="minorHAnsi" w:hAnsiTheme="minorHAnsi" w:cstheme="minorHAnsi"/>
          <w:b/>
          <w:i w:val="0"/>
          <w:color w:val="auto"/>
          <w:szCs w:val="24"/>
        </w:rPr>
      </w:pPr>
      <w:r w:rsidRPr="001F5812">
        <w:rPr>
          <w:rFonts w:asciiTheme="minorHAnsi" w:hAnsiTheme="minorHAnsi" w:cstheme="minorHAnsi"/>
          <w:b/>
          <w:i w:val="0"/>
          <w:color w:val="auto"/>
          <w:szCs w:val="24"/>
        </w:rPr>
        <w:t>“State Critical Event or Incident Reporting Requirements” Section: The Board recommends updating the language regarding required reporting of deaths and serious injuries to account for recent emergency regulations.</w:t>
      </w:r>
    </w:p>
    <w:p w14:paraId="3368C5D4" w14:textId="7AC61257" w:rsidR="00BA6690" w:rsidRPr="001F5812" w:rsidRDefault="00655043" w:rsidP="00B56862">
      <w:pPr>
        <w:pStyle w:val="ListParagraph"/>
        <w:spacing w:after="240" w:line="240" w:lineRule="auto"/>
        <w:ind w:left="360"/>
        <w:rPr>
          <w:rFonts w:asciiTheme="minorHAnsi" w:hAnsiTheme="minorHAnsi" w:cstheme="minorHAnsi"/>
          <w:i w:val="0"/>
          <w:color w:val="auto"/>
        </w:rPr>
      </w:pPr>
      <w:r w:rsidRPr="001F5812">
        <w:rPr>
          <w:rFonts w:asciiTheme="minorHAnsi" w:hAnsiTheme="minorHAnsi" w:cstheme="minorHAnsi"/>
          <w:i w:val="0"/>
          <w:color w:val="auto"/>
          <w:szCs w:val="24"/>
        </w:rPr>
        <w:t>Emergency regulations effective September 1, 2018, altered the reporting requirements for DBHDS-licensed providers in 12 VAC 35-105-160. Previously, providers were required to collect, maintain, and report each death or serious injury. Now, providers are required to collect, maintain, and report Levels II and III serious incidents. Providers are also required to collect, maintain, and review at least quarterly (but not report) all Level I serious incidents. Definitions of Levels I, II, and III serious incidents, which can be found in the emergency regulations for 12 VAC 35-105-20, should be included in the application.</w:t>
      </w:r>
      <w:r w:rsidR="006A0E91" w:rsidRPr="001F5812">
        <w:rPr>
          <w:rFonts w:asciiTheme="minorHAnsi" w:hAnsiTheme="minorHAnsi" w:cstheme="minorHAnsi"/>
          <w:i w:val="0"/>
          <w:color w:val="auto"/>
          <w:szCs w:val="24"/>
        </w:rPr>
        <w:t xml:space="preserve"> </w:t>
      </w:r>
      <w:r w:rsidR="00BA6690" w:rsidRPr="001F5812">
        <w:rPr>
          <w:rFonts w:asciiTheme="minorHAnsi" w:hAnsiTheme="minorHAnsi" w:cstheme="minorHAnsi"/>
          <w:i w:val="0"/>
          <w:color w:val="auto"/>
        </w:rPr>
        <w:t>References to “serious injuries or deaths” throughout Appendix G should be changed to “serious incidents” for consistency.</w:t>
      </w:r>
    </w:p>
    <w:p w14:paraId="36FAF568" w14:textId="124B1D14" w:rsidR="007F6813" w:rsidRPr="001F5812" w:rsidRDefault="00DD4035" w:rsidP="001F5812">
      <w:pPr>
        <w:pStyle w:val="ListParagraph"/>
        <w:numPr>
          <w:ilvl w:val="0"/>
          <w:numId w:val="28"/>
        </w:numPr>
        <w:spacing w:after="240" w:line="240" w:lineRule="auto"/>
        <w:rPr>
          <w:rFonts w:asciiTheme="minorHAnsi" w:hAnsiTheme="minorHAnsi" w:cstheme="minorHAnsi"/>
          <w:color w:val="auto"/>
        </w:rPr>
      </w:pPr>
      <w:r w:rsidRPr="001F5812">
        <w:rPr>
          <w:rFonts w:asciiTheme="minorHAnsi" w:hAnsiTheme="minorHAnsi" w:cstheme="minorHAnsi"/>
          <w:b/>
          <w:i w:val="0"/>
          <w:color w:val="auto"/>
        </w:rPr>
        <w:t xml:space="preserve">“State Critical Event or Incident Reporting Requirements” and </w:t>
      </w:r>
      <w:r w:rsidR="00B24827" w:rsidRPr="001F5812">
        <w:rPr>
          <w:rFonts w:asciiTheme="minorHAnsi" w:hAnsiTheme="minorHAnsi" w:cstheme="minorHAnsi"/>
          <w:b/>
          <w:i w:val="0"/>
          <w:color w:val="auto"/>
        </w:rPr>
        <w:t>“Responsibility for Review of and Response to Critical Events or Incidents” Section</w:t>
      </w:r>
      <w:r w:rsidR="002D3093" w:rsidRPr="001F5812">
        <w:rPr>
          <w:rFonts w:asciiTheme="minorHAnsi" w:hAnsiTheme="minorHAnsi" w:cstheme="minorHAnsi"/>
          <w:b/>
          <w:i w:val="0"/>
          <w:color w:val="auto"/>
        </w:rPr>
        <w:t>s</w:t>
      </w:r>
      <w:r w:rsidR="00B24827" w:rsidRPr="001F5812">
        <w:rPr>
          <w:rFonts w:asciiTheme="minorHAnsi" w:hAnsiTheme="minorHAnsi" w:cstheme="minorHAnsi"/>
          <w:b/>
          <w:i w:val="0"/>
          <w:color w:val="auto"/>
        </w:rPr>
        <w:t xml:space="preserve">: </w:t>
      </w:r>
      <w:r w:rsidR="0021353B" w:rsidRPr="001F5812">
        <w:rPr>
          <w:rFonts w:asciiTheme="minorHAnsi" w:hAnsiTheme="minorHAnsi" w:cstheme="minorHAnsi"/>
          <w:b/>
          <w:i w:val="0"/>
          <w:color w:val="auto"/>
        </w:rPr>
        <w:t>The Board recommends adding reference</w:t>
      </w:r>
      <w:r w:rsidR="007F6813" w:rsidRPr="001F5812">
        <w:rPr>
          <w:rFonts w:asciiTheme="minorHAnsi" w:hAnsiTheme="minorHAnsi" w:cstheme="minorHAnsi"/>
          <w:b/>
          <w:i w:val="0"/>
          <w:color w:val="auto"/>
        </w:rPr>
        <w:t>s</w:t>
      </w:r>
      <w:r w:rsidR="0021353B" w:rsidRPr="001F5812">
        <w:rPr>
          <w:rFonts w:asciiTheme="minorHAnsi" w:hAnsiTheme="minorHAnsi" w:cstheme="minorHAnsi"/>
          <w:b/>
          <w:i w:val="0"/>
          <w:color w:val="auto"/>
        </w:rPr>
        <w:t>, where appropriate, to the</w:t>
      </w:r>
      <w:r w:rsidR="00CA431F" w:rsidRPr="001F5812">
        <w:rPr>
          <w:rFonts w:asciiTheme="minorHAnsi" w:hAnsiTheme="minorHAnsi" w:cstheme="minorHAnsi"/>
          <w:b/>
          <w:i w:val="0"/>
          <w:color w:val="auto"/>
        </w:rPr>
        <w:t xml:space="preserve"> </w:t>
      </w:r>
      <w:r w:rsidR="007F6813" w:rsidRPr="001F5812">
        <w:rPr>
          <w:rFonts w:asciiTheme="minorHAnsi" w:hAnsiTheme="minorHAnsi" w:cstheme="minorHAnsi"/>
          <w:b/>
          <w:i w:val="0"/>
          <w:color w:val="auto"/>
        </w:rPr>
        <w:t>role</w:t>
      </w:r>
      <w:r w:rsidR="00A53153" w:rsidRPr="001F5812">
        <w:rPr>
          <w:rFonts w:asciiTheme="minorHAnsi" w:hAnsiTheme="minorHAnsi" w:cstheme="minorHAnsi"/>
          <w:b/>
          <w:i w:val="0"/>
          <w:color w:val="auto"/>
        </w:rPr>
        <w:t>s</w:t>
      </w:r>
      <w:r w:rsidR="007F6813" w:rsidRPr="001F5812">
        <w:rPr>
          <w:rFonts w:asciiTheme="minorHAnsi" w:hAnsiTheme="minorHAnsi" w:cstheme="minorHAnsi"/>
          <w:b/>
          <w:i w:val="0"/>
          <w:color w:val="auto"/>
        </w:rPr>
        <w:t xml:space="preserve"> of the state’s protection and advocacy entity.</w:t>
      </w:r>
    </w:p>
    <w:p w14:paraId="7EF03D0D" w14:textId="1CAB18D9" w:rsidR="00145A0E" w:rsidRPr="001F5812" w:rsidRDefault="001E6546" w:rsidP="00B56862">
      <w:pPr>
        <w:pStyle w:val="Heading2"/>
        <w:spacing w:after="240" w:line="240" w:lineRule="auto"/>
        <w:ind w:left="360"/>
        <w:textAlignment w:val="baseline"/>
        <w:rPr>
          <w:rFonts w:asciiTheme="minorHAnsi" w:hAnsiTheme="minorHAnsi" w:cstheme="minorHAnsi"/>
          <w:b w:val="0"/>
          <w:color w:val="auto"/>
          <w:sz w:val="24"/>
          <w:szCs w:val="24"/>
        </w:rPr>
      </w:pPr>
      <w:r w:rsidRPr="001F5812">
        <w:rPr>
          <w:rFonts w:asciiTheme="minorHAnsi" w:hAnsiTheme="minorHAnsi" w:cstheme="minorHAnsi"/>
          <w:b w:val="0"/>
          <w:color w:val="auto"/>
          <w:sz w:val="24"/>
          <w:szCs w:val="24"/>
        </w:rPr>
        <w:t>T</w:t>
      </w:r>
      <w:r w:rsidR="00AD7CC5" w:rsidRPr="001F5812">
        <w:rPr>
          <w:rFonts w:asciiTheme="minorHAnsi" w:hAnsiTheme="minorHAnsi" w:cstheme="minorHAnsi"/>
          <w:b w:val="0"/>
          <w:color w:val="auto"/>
          <w:sz w:val="24"/>
          <w:szCs w:val="24"/>
        </w:rPr>
        <w:t>he state’s protection and advocacy entity receive</w:t>
      </w:r>
      <w:r w:rsidRPr="001F5812">
        <w:rPr>
          <w:rFonts w:asciiTheme="minorHAnsi" w:hAnsiTheme="minorHAnsi" w:cstheme="minorHAnsi"/>
          <w:b w:val="0"/>
          <w:color w:val="auto"/>
          <w:sz w:val="24"/>
          <w:szCs w:val="24"/>
        </w:rPr>
        <w:t>s</w:t>
      </w:r>
      <w:r w:rsidR="00AD7CC5" w:rsidRPr="001F5812">
        <w:rPr>
          <w:rFonts w:asciiTheme="minorHAnsi" w:hAnsiTheme="minorHAnsi" w:cstheme="minorHAnsi"/>
          <w:b w:val="0"/>
          <w:color w:val="auto"/>
          <w:sz w:val="24"/>
          <w:szCs w:val="24"/>
        </w:rPr>
        <w:t xml:space="preserve"> and review</w:t>
      </w:r>
      <w:r w:rsidRPr="001F5812">
        <w:rPr>
          <w:rFonts w:asciiTheme="minorHAnsi" w:hAnsiTheme="minorHAnsi" w:cstheme="minorHAnsi"/>
          <w:b w:val="0"/>
          <w:color w:val="auto"/>
          <w:sz w:val="24"/>
          <w:szCs w:val="24"/>
        </w:rPr>
        <w:t>s</w:t>
      </w:r>
      <w:r w:rsidR="00AD7CC5" w:rsidRPr="001F5812">
        <w:rPr>
          <w:rFonts w:asciiTheme="minorHAnsi" w:hAnsiTheme="minorHAnsi" w:cstheme="minorHAnsi"/>
          <w:b w:val="0"/>
          <w:color w:val="auto"/>
          <w:sz w:val="24"/>
          <w:szCs w:val="24"/>
        </w:rPr>
        <w:t xml:space="preserve"> complaints</w:t>
      </w:r>
      <w:r w:rsidR="00DD4035" w:rsidRPr="001F5812">
        <w:rPr>
          <w:rFonts w:asciiTheme="minorHAnsi" w:hAnsiTheme="minorHAnsi" w:cstheme="minorHAnsi"/>
          <w:b w:val="0"/>
          <w:color w:val="auto"/>
          <w:sz w:val="24"/>
          <w:szCs w:val="24"/>
        </w:rPr>
        <w:t>,</w:t>
      </w:r>
      <w:r w:rsidR="00AD7CC5" w:rsidRPr="001F5812">
        <w:rPr>
          <w:rFonts w:asciiTheme="minorHAnsi" w:hAnsiTheme="minorHAnsi" w:cstheme="minorHAnsi"/>
          <w:b w:val="0"/>
          <w:color w:val="auto"/>
          <w:sz w:val="24"/>
          <w:szCs w:val="24"/>
        </w:rPr>
        <w:t xml:space="preserve"> which may or may not involve critical incidents</w:t>
      </w:r>
      <w:r w:rsidR="00DE4A0C" w:rsidRPr="001F5812">
        <w:rPr>
          <w:rFonts w:asciiTheme="minorHAnsi" w:hAnsiTheme="minorHAnsi" w:cstheme="minorHAnsi"/>
          <w:b w:val="0"/>
          <w:color w:val="auto"/>
          <w:sz w:val="24"/>
          <w:szCs w:val="24"/>
        </w:rPr>
        <w:t xml:space="preserve"> pertaining to waiver recipients</w:t>
      </w:r>
      <w:r w:rsidR="00AD7CC5" w:rsidRPr="001F5812">
        <w:rPr>
          <w:rFonts w:asciiTheme="minorHAnsi" w:hAnsiTheme="minorHAnsi" w:cstheme="minorHAnsi"/>
          <w:b w:val="0"/>
          <w:color w:val="auto"/>
          <w:sz w:val="24"/>
          <w:szCs w:val="24"/>
        </w:rPr>
        <w:t xml:space="preserve">. </w:t>
      </w:r>
      <w:r w:rsidR="008D5E48" w:rsidRPr="001F5812">
        <w:rPr>
          <w:rFonts w:asciiTheme="minorHAnsi" w:hAnsiTheme="minorHAnsi" w:cstheme="minorHAnsi"/>
          <w:b w:val="0"/>
          <w:color w:val="auto"/>
          <w:sz w:val="24"/>
          <w:szCs w:val="24"/>
        </w:rPr>
        <w:t xml:space="preserve">The </w:t>
      </w:r>
      <w:r w:rsidR="00CA431F" w:rsidRPr="001F5812">
        <w:rPr>
          <w:rFonts w:asciiTheme="minorHAnsi" w:hAnsiTheme="minorHAnsi" w:cstheme="minorHAnsi"/>
          <w:b w:val="0"/>
          <w:i/>
          <w:color w:val="auto"/>
          <w:sz w:val="24"/>
          <w:szCs w:val="24"/>
        </w:rPr>
        <w:t>Code of Virginia</w:t>
      </w:r>
      <w:r w:rsidR="00CA431F" w:rsidRPr="001F5812">
        <w:rPr>
          <w:rFonts w:asciiTheme="minorHAnsi" w:hAnsiTheme="minorHAnsi" w:cstheme="minorHAnsi"/>
          <w:b w:val="0"/>
          <w:color w:val="auto"/>
          <w:sz w:val="24"/>
          <w:szCs w:val="24"/>
        </w:rPr>
        <w:t xml:space="preserve"> </w:t>
      </w:r>
      <w:r w:rsidR="00CA431F" w:rsidRPr="001F5812">
        <w:rPr>
          <w:rFonts w:asciiTheme="minorHAnsi" w:hAnsiTheme="minorHAnsi" w:cstheme="minorHAnsi"/>
          <w:b w:val="0"/>
          <w:bCs w:val="0"/>
          <w:color w:val="auto"/>
          <w:sz w:val="24"/>
          <w:szCs w:val="24"/>
        </w:rPr>
        <w:t xml:space="preserve">§37.2-709 </w:t>
      </w:r>
      <w:r w:rsidR="00C06FBF" w:rsidRPr="001F5812">
        <w:rPr>
          <w:rFonts w:asciiTheme="minorHAnsi" w:hAnsiTheme="minorHAnsi" w:cstheme="minorHAnsi"/>
          <w:b w:val="0"/>
          <w:color w:val="auto"/>
          <w:sz w:val="24"/>
          <w:szCs w:val="24"/>
        </w:rPr>
        <w:t xml:space="preserve">also </w:t>
      </w:r>
      <w:r w:rsidR="0021353B" w:rsidRPr="001F5812">
        <w:rPr>
          <w:rFonts w:asciiTheme="minorHAnsi" w:hAnsiTheme="minorHAnsi" w:cstheme="minorHAnsi"/>
          <w:b w:val="0"/>
          <w:color w:val="auto"/>
          <w:sz w:val="24"/>
          <w:szCs w:val="24"/>
        </w:rPr>
        <w:t>require</w:t>
      </w:r>
      <w:r w:rsidR="00CA431F" w:rsidRPr="001F5812">
        <w:rPr>
          <w:rFonts w:asciiTheme="minorHAnsi" w:hAnsiTheme="minorHAnsi" w:cstheme="minorHAnsi"/>
          <w:b w:val="0"/>
          <w:color w:val="auto"/>
          <w:sz w:val="24"/>
          <w:szCs w:val="24"/>
        </w:rPr>
        <w:t>s</w:t>
      </w:r>
      <w:r w:rsidR="0021353B" w:rsidRPr="001F5812">
        <w:rPr>
          <w:rFonts w:asciiTheme="minorHAnsi" w:hAnsiTheme="minorHAnsi" w:cstheme="minorHAnsi"/>
          <w:b w:val="0"/>
          <w:color w:val="auto"/>
          <w:sz w:val="24"/>
          <w:szCs w:val="24"/>
        </w:rPr>
        <w:t xml:space="preserve"> reporting of </w:t>
      </w:r>
      <w:r w:rsidR="00D74BBB" w:rsidRPr="001F5812">
        <w:rPr>
          <w:rFonts w:asciiTheme="minorHAnsi" w:hAnsiTheme="minorHAnsi" w:cstheme="minorHAnsi"/>
          <w:b w:val="0"/>
          <w:color w:val="auto"/>
          <w:sz w:val="24"/>
          <w:szCs w:val="24"/>
        </w:rPr>
        <w:t xml:space="preserve">all </w:t>
      </w:r>
      <w:r w:rsidR="0021353B" w:rsidRPr="001F5812">
        <w:rPr>
          <w:rFonts w:asciiTheme="minorHAnsi" w:hAnsiTheme="minorHAnsi" w:cstheme="minorHAnsi"/>
          <w:b w:val="0"/>
          <w:color w:val="auto"/>
          <w:sz w:val="24"/>
          <w:szCs w:val="24"/>
        </w:rPr>
        <w:t>critical incidents and deaths in facilities and in the community to the state’s protection and advocacy entity</w:t>
      </w:r>
      <w:r w:rsidR="006C1CD4" w:rsidRPr="001F5812">
        <w:rPr>
          <w:rFonts w:asciiTheme="minorHAnsi" w:hAnsiTheme="minorHAnsi" w:cstheme="minorHAnsi"/>
          <w:b w:val="0"/>
          <w:color w:val="auto"/>
          <w:sz w:val="24"/>
          <w:szCs w:val="24"/>
        </w:rPr>
        <w:t xml:space="preserve">, which then </w:t>
      </w:r>
      <w:r w:rsidR="00713052" w:rsidRPr="001F5812">
        <w:rPr>
          <w:rFonts w:asciiTheme="minorHAnsi" w:hAnsiTheme="minorHAnsi" w:cstheme="minorHAnsi"/>
          <w:b w:val="0"/>
          <w:color w:val="auto"/>
          <w:sz w:val="24"/>
          <w:szCs w:val="24"/>
        </w:rPr>
        <w:t xml:space="preserve">reviews the reports and </w:t>
      </w:r>
      <w:r w:rsidR="006C1CD4" w:rsidRPr="001F5812">
        <w:rPr>
          <w:rFonts w:asciiTheme="minorHAnsi" w:hAnsiTheme="minorHAnsi" w:cstheme="minorHAnsi"/>
          <w:b w:val="0"/>
          <w:color w:val="auto"/>
          <w:sz w:val="24"/>
          <w:szCs w:val="24"/>
        </w:rPr>
        <w:t>conducts follow-up investigations as needed</w:t>
      </w:r>
      <w:r w:rsidR="00655043" w:rsidRPr="001F5812">
        <w:rPr>
          <w:rFonts w:asciiTheme="minorHAnsi" w:hAnsiTheme="minorHAnsi" w:cstheme="minorHAnsi"/>
          <w:b w:val="0"/>
          <w:color w:val="auto"/>
          <w:sz w:val="24"/>
          <w:szCs w:val="24"/>
        </w:rPr>
        <w:t>.</w:t>
      </w:r>
      <w:r w:rsidR="00481787" w:rsidRPr="001F5812">
        <w:rPr>
          <w:rFonts w:asciiTheme="minorHAnsi" w:hAnsiTheme="minorHAnsi" w:cstheme="minorHAnsi"/>
          <w:b w:val="0"/>
          <w:color w:val="auto"/>
          <w:sz w:val="24"/>
          <w:szCs w:val="24"/>
        </w:rPr>
        <w:t xml:space="preserve"> The protection and advocacy entity</w:t>
      </w:r>
      <w:r w:rsidR="005D05AC" w:rsidRPr="001F5812">
        <w:rPr>
          <w:rFonts w:asciiTheme="minorHAnsi" w:hAnsiTheme="minorHAnsi" w:cstheme="minorHAnsi"/>
          <w:b w:val="0"/>
          <w:color w:val="auto"/>
          <w:sz w:val="24"/>
          <w:szCs w:val="24"/>
        </w:rPr>
        <w:t>, along with various other entities</w:t>
      </w:r>
      <w:r w:rsidR="009F3B5F" w:rsidRPr="001F5812">
        <w:rPr>
          <w:rFonts w:asciiTheme="minorHAnsi" w:hAnsiTheme="minorHAnsi" w:cstheme="minorHAnsi"/>
          <w:b w:val="0"/>
          <w:color w:val="auto"/>
          <w:sz w:val="24"/>
          <w:szCs w:val="24"/>
        </w:rPr>
        <w:t xml:space="preserve"> including the State Long-Term Care Ombudsman</w:t>
      </w:r>
      <w:r w:rsidR="005D05AC" w:rsidRPr="001F5812">
        <w:rPr>
          <w:rFonts w:asciiTheme="minorHAnsi" w:hAnsiTheme="minorHAnsi" w:cstheme="minorHAnsi"/>
          <w:b w:val="0"/>
          <w:color w:val="auto"/>
          <w:sz w:val="24"/>
          <w:szCs w:val="24"/>
        </w:rPr>
        <w:t>,</w:t>
      </w:r>
      <w:r w:rsidR="00481787" w:rsidRPr="001F5812">
        <w:rPr>
          <w:rFonts w:asciiTheme="minorHAnsi" w:hAnsiTheme="minorHAnsi" w:cstheme="minorHAnsi"/>
          <w:b w:val="0"/>
          <w:color w:val="auto"/>
          <w:sz w:val="24"/>
          <w:szCs w:val="24"/>
        </w:rPr>
        <w:t xml:space="preserve"> </w:t>
      </w:r>
      <w:r w:rsidR="005D05AC" w:rsidRPr="001F5812">
        <w:rPr>
          <w:rFonts w:asciiTheme="minorHAnsi" w:hAnsiTheme="minorHAnsi" w:cstheme="minorHAnsi"/>
          <w:b w:val="0"/>
          <w:color w:val="auto"/>
          <w:sz w:val="24"/>
          <w:szCs w:val="24"/>
        </w:rPr>
        <w:t>are</w:t>
      </w:r>
      <w:r w:rsidR="00481787" w:rsidRPr="001F5812">
        <w:rPr>
          <w:rFonts w:asciiTheme="minorHAnsi" w:hAnsiTheme="minorHAnsi" w:cstheme="minorHAnsi"/>
          <w:b w:val="0"/>
          <w:color w:val="auto"/>
          <w:sz w:val="24"/>
          <w:szCs w:val="24"/>
        </w:rPr>
        <w:t xml:space="preserve"> also entitled to receive Adult Protective Services information per 22 VAC 30-100-50</w:t>
      </w:r>
      <w:r w:rsidR="00145A0E" w:rsidRPr="001F5812">
        <w:rPr>
          <w:rFonts w:asciiTheme="minorHAnsi" w:hAnsiTheme="minorHAnsi" w:cstheme="minorHAnsi"/>
          <w:b w:val="0"/>
          <w:color w:val="auto"/>
          <w:sz w:val="24"/>
          <w:szCs w:val="24"/>
        </w:rPr>
        <w:t>.</w:t>
      </w:r>
    </w:p>
    <w:p w14:paraId="669DFAC3" w14:textId="0FFDD025" w:rsidR="00F43273" w:rsidRPr="001F5812" w:rsidRDefault="00F43273" w:rsidP="000B0FA4">
      <w:pPr>
        <w:pStyle w:val="Heading2"/>
        <w:spacing w:after="240" w:line="240" w:lineRule="auto"/>
        <w:textAlignment w:val="baseline"/>
        <w:rPr>
          <w:rFonts w:asciiTheme="minorHAnsi" w:hAnsiTheme="minorHAnsi" w:cstheme="minorHAnsi"/>
          <w:b w:val="0"/>
          <w:i/>
          <w:color w:val="auto"/>
          <w:sz w:val="24"/>
          <w:szCs w:val="24"/>
          <w:u w:val="single"/>
        </w:rPr>
      </w:pPr>
      <w:r w:rsidRPr="001F5812">
        <w:rPr>
          <w:rFonts w:asciiTheme="minorHAnsi" w:hAnsiTheme="minorHAnsi" w:cstheme="minorHAnsi"/>
          <w:color w:val="auto"/>
          <w:sz w:val="24"/>
          <w:szCs w:val="24"/>
          <w:u w:val="single"/>
        </w:rPr>
        <w:t>Appendix G</w:t>
      </w:r>
      <w:r w:rsidR="00D65C01" w:rsidRPr="001F5812">
        <w:rPr>
          <w:rFonts w:asciiTheme="minorHAnsi" w:hAnsiTheme="minorHAnsi" w:cstheme="minorHAnsi"/>
          <w:color w:val="auto"/>
          <w:sz w:val="24"/>
          <w:szCs w:val="24"/>
          <w:u w:val="single"/>
        </w:rPr>
        <w:t>-2</w:t>
      </w:r>
      <w:r w:rsidRPr="001F5812">
        <w:rPr>
          <w:rFonts w:asciiTheme="minorHAnsi" w:hAnsiTheme="minorHAnsi" w:cstheme="minorHAnsi"/>
          <w:color w:val="auto"/>
          <w:sz w:val="24"/>
          <w:szCs w:val="24"/>
          <w:u w:val="single"/>
        </w:rPr>
        <w:t>:</w:t>
      </w:r>
      <w:r w:rsidR="007C7817" w:rsidRPr="001F5812">
        <w:rPr>
          <w:rFonts w:asciiTheme="minorHAnsi" w:hAnsiTheme="minorHAnsi" w:cstheme="minorHAnsi"/>
          <w:color w:val="auto"/>
          <w:sz w:val="24"/>
          <w:szCs w:val="24"/>
          <w:u w:val="single"/>
        </w:rPr>
        <w:t xml:space="preserve"> </w:t>
      </w:r>
      <w:r w:rsidRPr="001F5812">
        <w:rPr>
          <w:rFonts w:asciiTheme="minorHAnsi" w:hAnsiTheme="minorHAnsi" w:cstheme="minorHAnsi"/>
          <w:color w:val="auto"/>
          <w:sz w:val="24"/>
          <w:szCs w:val="24"/>
          <w:u w:val="single"/>
        </w:rPr>
        <w:t xml:space="preserve">Safeguards </w:t>
      </w:r>
      <w:r w:rsidR="00D65C01" w:rsidRPr="001F5812">
        <w:rPr>
          <w:rFonts w:asciiTheme="minorHAnsi" w:hAnsiTheme="minorHAnsi" w:cstheme="minorHAnsi"/>
          <w:color w:val="auto"/>
          <w:sz w:val="24"/>
          <w:szCs w:val="24"/>
          <w:u w:val="single"/>
        </w:rPr>
        <w:t>Concern</w:t>
      </w:r>
      <w:r w:rsidRPr="001F5812">
        <w:rPr>
          <w:rFonts w:asciiTheme="minorHAnsi" w:hAnsiTheme="minorHAnsi" w:cstheme="minorHAnsi"/>
          <w:color w:val="auto"/>
          <w:sz w:val="24"/>
          <w:szCs w:val="24"/>
          <w:u w:val="single"/>
        </w:rPr>
        <w:t xml:space="preserve">ing </w:t>
      </w:r>
      <w:r w:rsidR="00D65C01" w:rsidRPr="001F5812">
        <w:rPr>
          <w:rFonts w:asciiTheme="minorHAnsi" w:hAnsiTheme="minorHAnsi" w:cstheme="minorHAnsi"/>
          <w:color w:val="auto"/>
          <w:sz w:val="24"/>
          <w:szCs w:val="24"/>
          <w:u w:val="single"/>
        </w:rPr>
        <w:t xml:space="preserve">Restraints and </w:t>
      </w:r>
      <w:r w:rsidRPr="001F5812">
        <w:rPr>
          <w:rFonts w:asciiTheme="minorHAnsi" w:hAnsiTheme="minorHAnsi" w:cstheme="minorHAnsi"/>
          <w:color w:val="auto"/>
          <w:sz w:val="24"/>
          <w:szCs w:val="24"/>
          <w:u w:val="single"/>
        </w:rPr>
        <w:t>Restrictive Interventions</w:t>
      </w:r>
    </w:p>
    <w:p w14:paraId="26367CA1" w14:textId="46E85E87" w:rsidR="00F43273" w:rsidRPr="001F5812" w:rsidRDefault="00244415" w:rsidP="001F5812">
      <w:pPr>
        <w:pStyle w:val="ListParagraph"/>
        <w:numPr>
          <w:ilvl w:val="0"/>
          <w:numId w:val="28"/>
        </w:numPr>
        <w:spacing w:after="240" w:line="240" w:lineRule="auto"/>
        <w:rPr>
          <w:rFonts w:asciiTheme="minorHAnsi" w:hAnsiTheme="minorHAnsi" w:cstheme="minorHAnsi"/>
          <w:b/>
          <w:i w:val="0"/>
          <w:color w:val="auto"/>
          <w:szCs w:val="24"/>
        </w:rPr>
      </w:pPr>
      <w:r w:rsidRPr="001F5812">
        <w:rPr>
          <w:rFonts w:asciiTheme="minorHAnsi" w:hAnsiTheme="minorHAnsi" w:cstheme="minorHAnsi"/>
          <w:b/>
          <w:i w:val="0"/>
          <w:color w:val="auto"/>
          <w:szCs w:val="24"/>
        </w:rPr>
        <w:t xml:space="preserve">“Use of Restrictive Interventions” Section: </w:t>
      </w:r>
      <w:r w:rsidR="00F43273" w:rsidRPr="001F5812">
        <w:rPr>
          <w:rFonts w:asciiTheme="minorHAnsi" w:hAnsiTheme="minorHAnsi" w:cstheme="minorHAnsi"/>
          <w:b/>
          <w:i w:val="0"/>
          <w:color w:val="auto"/>
          <w:szCs w:val="24"/>
        </w:rPr>
        <w:t>Language should be corrected in the 2</w:t>
      </w:r>
      <w:r w:rsidR="00F43273" w:rsidRPr="001F5812">
        <w:rPr>
          <w:rFonts w:asciiTheme="minorHAnsi" w:hAnsiTheme="minorHAnsi" w:cstheme="minorHAnsi"/>
          <w:b/>
          <w:i w:val="0"/>
          <w:color w:val="auto"/>
          <w:szCs w:val="24"/>
          <w:vertAlign w:val="superscript"/>
        </w:rPr>
        <w:t>nd</w:t>
      </w:r>
      <w:r w:rsidR="00F43273" w:rsidRPr="001F5812">
        <w:rPr>
          <w:rFonts w:asciiTheme="minorHAnsi" w:hAnsiTheme="minorHAnsi" w:cstheme="minorHAnsi"/>
          <w:b/>
          <w:i w:val="0"/>
          <w:color w:val="auto"/>
          <w:szCs w:val="24"/>
        </w:rPr>
        <w:t xml:space="preserve"> reference to Provider’s Duties Regarding the Use of Time-Out.</w:t>
      </w:r>
      <w:r w:rsidR="007C7817" w:rsidRPr="001F5812">
        <w:rPr>
          <w:rFonts w:asciiTheme="minorHAnsi" w:hAnsiTheme="minorHAnsi" w:cstheme="minorHAnsi"/>
          <w:b/>
          <w:i w:val="0"/>
          <w:color w:val="auto"/>
          <w:szCs w:val="24"/>
        </w:rPr>
        <w:t xml:space="preserve"> </w:t>
      </w:r>
    </w:p>
    <w:p w14:paraId="0C2B4850" w14:textId="38791F00" w:rsidR="00F43273" w:rsidRPr="001F5812" w:rsidRDefault="00F43273" w:rsidP="00B56862">
      <w:pPr>
        <w:pStyle w:val="Default"/>
        <w:spacing w:after="240"/>
        <w:ind w:left="360"/>
        <w:rPr>
          <w:rFonts w:asciiTheme="minorHAnsi" w:hAnsiTheme="minorHAnsi" w:cstheme="minorHAnsi"/>
        </w:rPr>
      </w:pPr>
      <w:r w:rsidRPr="001F5812">
        <w:rPr>
          <w:rFonts w:asciiTheme="minorHAnsi" w:hAnsiTheme="minorHAnsi" w:cstheme="minorHAnsi"/>
          <w:i/>
        </w:rPr>
        <w:t>Providers shall not use time out as a punishment or reprisal for the convenience of staff.</w:t>
      </w:r>
      <w:r w:rsidR="007C7817" w:rsidRPr="001F5812">
        <w:rPr>
          <w:rFonts w:asciiTheme="minorHAnsi" w:hAnsiTheme="minorHAnsi" w:cstheme="minorHAnsi"/>
        </w:rPr>
        <w:t xml:space="preserve"> </w:t>
      </w:r>
      <w:r w:rsidRPr="001F5812">
        <w:rPr>
          <w:rFonts w:asciiTheme="minorHAnsi" w:hAnsiTheme="minorHAnsi" w:cstheme="minorHAnsi"/>
        </w:rPr>
        <w:t xml:space="preserve"> The word “or” is missing after reprisal. The statement should read, as it does in the previous section, </w:t>
      </w:r>
      <w:r w:rsidR="005B211B" w:rsidRPr="001F5812">
        <w:rPr>
          <w:rFonts w:asciiTheme="minorHAnsi" w:hAnsiTheme="minorHAnsi" w:cstheme="minorHAnsi"/>
        </w:rPr>
        <w:t>“</w:t>
      </w:r>
      <w:r w:rsidRPr="001F5812">
        <w:rPr>
          <w:rFonts w:asciiTheme="minorHAnsi" w:hAnsiTheme="minorHAnsi" w:cstheme="minorHAnsi"/>
        </w:rPr>
        <w:t xml:space="preserve">Providers shall not use time out as a punishment or reprisal </w:t>
      </w:r>
      <w:r w:rsidRPr="001F5812">
        <w:rPr>
          <w:rFonts w:asciiTheme="minorHAnsi" w:hAnsiTheme="minorHAnsi" w:cstheme="minorHAnsi"/>
          <w:u w:val="single"/>
        </w:rPr>
        <w:t xml:space="preserve">or </w:t>
      </w:r>
      <w:r w:rsidRPr="001F5812">
        <w:rPr>
          <w:rFonts w:asciiTheme="minorHAnsi" w:hAnsiTheme="minorHAnsi" w:cstheme="minorHAnsi"/>
        </w:rPr>
        <w:t>for the convenience of staff.</w:t>
      </w:r>
      <w:r w:rsidR="005B211B" w:rsidRPr="001F5812">
        <w:rPr>
          <w:rFonts w:asciiTheme="minorHAnsi" w:hAnsiTheme="minorHAnsi" w:cstheme="minorHAnsi"/>
        </w:rPr>
        <w:t>”</w:t>
      </w:r>
    </w:p>
    <w:p w14:paraId="438926C4" w14:textId="78B7B719" w:rsidR="00C13847" w:rsidRPr="001F5812" w:rsidRDefault="00C13847" w:rsidP="00B56862">
      <w:pPr>
        <w:spacing w:after="240" w:line="240" w:lineRule="auto"/>
        <w:rPr>
          <w:rFonts w:asciiTheme="minorHAnsi" w:hAnsiTheme="minorHAnsi" w:cstheme="minorHAnsi"/>
          <w:b/>
          <w:i w:val="0"/>
          <w:color w:val="auto"/>
          <w:szCs w:val="24"/>
          <w:u w:val="single"/>
        </w:rPr>
      </w:pPr>
      <w:r w:rsidRPr="001F5812">
        <w:rPr>
          <w:rFonts w:asciiTheme="minorHAnsi" w:hAnsiTheme="minorHAnsi" w:cstheme="minorHAnsi"/>
          <w:b/>
          <w:i w:val="0"/>
          <w:color w:val="auto"/>
          <w:szCs w:val="24"/>
          <w:u w:val="single"/>
        </w:rPr>
        <w:t>Appendix G:</w:t>
      </w:r>
      <w:r w:rsidR="007C7817" w:rsidRPr="001F5812">
        <w:rPr>
          <w:rFonts w:asciiTheme="minorHAnsi" w:hAnsiTheme="minorHAnsi" w:cstheme="minorHAnsi"/>
          <w:b/>
          <w:i w:val="0"/>
          <w:color w:val="auto"/>
          <w:szCs w:val="24"/>
          <w:u w:val="single"/>
        </w:rPr>
        <w:t xml:space="preserve"> </w:t>
      </w:r>
      <w:r w:rsidRPr="001F5812">
        <w:rPr>
          <w:rFonts w:asciiTheme="minorHAnsi" w:hAnsiTheme="minorHAnsi" w:cstheme="minorHAnsi"/>
          <w:b/>
          <w:i w:val="0"/>
          <w:color w:val="auto"/>
          <w:szCs w:val="24"/>
          <w:u w:val="single"/>
        </w:rPr>
        <w:t>Participant Safeguards: Quality Improvement</w:t>
      </w:r>
      <w:r w:rsidR="007B7994" w:rsidRPr="001F5812">
        <w:rPr>
          <w:rFonts w:asciiTheme="minorHAnsi" w:hAnsiTheme="minorHAnsi" w:cstheme="minorHAnsi"/>
          <w:b/>
          <w:i w:val="0"/>
          <w:color w:val="auto"/>
          <w:szCs w:val="24"/>
          <w:u w:val="single"/>
        </w:rPr>
        <w:t xml:space="preserve"> </w:t>
      </w:r>
      <w:r w:rsidRPr="001F5812">
        <w:rPr>
          <w:rFonts w:asciiTheme="minorHAnsi" w:hAnsiTheme="minorHAnsi" w:cstheme="minorHAnsi"/>
          <w:b/>
          <w:i w:val="0"/>
          <w:color w:val="auto"/>
          <w:szCs w:val="24"/>
          <w:u w:val="single"/>
        </w:rPr>
        <w:t>-</w:t>
      </w:r>
      <w:r w:rsidR="007B7994" w:rsidRPr="001F5812">
        <w:rPr>
          <w:rFonts w:asciiTheme="minorHAnsi" w:hAnsiTheme="minorHAnsi" w:cstheme="minorHAnsi"/>
          <w:b/>
          <w:i w:val="0"/>
          <w:color w:val="auto"/>
          <w:szCs w:val="24"/>
          <w:u w:val="single"/>
        </w:rPr>
        <w:t xml:space="preserve"> </w:t>
      </w:r>
      <w:r w:rsidRPr="001F5812">
        <w:rPr>
          <w:rFonts w:asciiTheme="minorHAnsi" w:hAnsiTheme="minorHAnsi" w:cstheme="minorHAnsi"/>
          <w:b/>
          <w:i w:val="0"/>
          <w:color w:val="auto"/>
          <w:szCs w:val="24"/>
          <w:u w:val="single"/>
        </w:rPr>
        <w:t>Health and Welfare</w:t>
      </w:r>
    </w:p>
    <w:p w14:paraId="0BD088C4" w14:textId="591E9CBA" w:rsidR="00C13847" w:rsidRPr="001F5812" w:rsidRDefault="008D28DB" w:rsidP="001F5812">
      <w:pPr>
        <w:pStyle w:val="ListParagraph"/>
        <w:numPr>
          <w:ilvl w:val="0"/>
          <w:numId w:val="28"/>
        </w:numPr>
        <w:spacing w:after="240" w:line="240" w:lineRule="auto"/>
        <w:rPr>
          <w:rFonts w:asciiTheme="minorHAnsi" w:hAnsiTheme="minorHAnsi" w:cstheme="minorHAnsi"/>
          <w:b/>
          <w:i w:val="0"/>
          <w:color w:val="auto"/>
          <w:szCs w:val="24"/>
        </w:rPr>
      </w:pPr>
      <w:r w:rsidRPr="001F5812">
        <w:rPr>
          <w:rFonts w:asciiTheme="minorHAnsi" w:hAnsiTheme="minorHAnsi" w:cstheme="minorHAnsi"/>
          <w:b/>
          <w:i w:val="0"/>
          <w:color w:val="auto"/>
          <w:szCs w:val="24"/>
        </w:rPr>
        <w:t>”Sub-assurance: The state demonstrates that an incident management system is in place that effectively resolves those incidents and prevents further similar incidents to the extent possible” Section: The Board recommends adding performance measure</w:t>
      </w:r>
      <w:r w:rsidR="00FE386A" w:rsidRPr="001F5812">
        <w:rPr>
          <w:rFonts w:asciiTheme="minorHAnsi" w:hAnsiTheme="minorHAnsi" w:cstheme="minorHAnsi"/>
          <w:b/>
          <w:i w:val="0"/>
          <w:color w:val="auto"/>
          <w:szCs w:val="24"/>
        </w:rPr>
        <w:t>s</w:t>
      </w:r>
      <w:r w:rsidRPr="001F5812">
        <w:rPr>
          <w:rFonts w:asciiTheme="minorHAnsi" w:hAnsiTheme="minorHAnsi" w:cstheme="minorHAnsi"/>
          <w:b/>
          <w:i w:val="0"/>
          <w:color w:val="auto"/>
          <w:szCs w:val="24"/>
        </w:rPr>
        <w:t xml:space="preserve"> </w:t>
      </w:r>
      <w:r w:rsidRPr="001F5812">
        <w:rPr>
          <w:rFonts w:asciiTheme="minorHAnsi" w:hAnsiTheme="minorHAnsi" w:cstheme="minorHAnsi"/>
          <w:b/>
          <w:i w:val="0"/>
          <w:color w:val="auto"/>
          <w:szCs w:val="24"/>
        </w:rPr>
        <w:lastRenderedPageBreak/>
        <w:t xml:space="preserve">regarding </w:t>
      </w:r>
      <w:r w:rsidR="00FE386A" w:rsidRPr="001F5812">
        <w:rPr>
          <w:rFonts w:asciiTheme="minorHAnsi" w:hAnsiTheme="minorHAnsi" w:cstheme="minorHAnsi"/>
          <w:b/>
          <w:i w:val="0"/>
          <w:color w:val="auto"/>
          <w:szCs w:val="24"/>
        </w:rPr>
        <w:t>verified implementation of corrective action plans</w:t>
      </w:r>
      <w:r w:rsidR="00650880" w:rsidRPr="001F5812">
        <w:rPr>
          <w:rFonts w:asciiTheme="minorHAnsi" w:hAnsiTheme="minorHAnsi" w:cstheme="minorHAnsi"/>
          <w:b/>
          <w:i w:val="0"/>
          <w:color w:val="auto"/>
          <w:szCs w:val="24"/>
        </w:rPr>
        <w:t>,</w:t>
      </w:r>
      <w:r w:rsidR="00FE386A" w:rsidRPr="001F5812">
        <w:rPr>
          <w:rFonts w:asciiTheme="minorHAnsi" w:hAnsiTheme="minorHAnsi" w:cstheme="minorHAnsi"/>
          <w:b/>
          <w:i w:val="0"/>
          <w:color w:val="auto"/>
          <w:szCs w:val="24"/>
        </w:rPr>
        <w:t xml:space="preserve"> the frequency of </w:t>
      </w:r>
      <w:r w:rsidRPr="001F5812">
        <w:rPr>
          <w:rFonts w:asciiTheme="minorHAnsi" w:hAnsiTheme="minorHAnsi" w:cstheme="minorHAnsi"/>
          <w:b/>
          <w:i w:val="0"/>
          <w:color w:val="auto"/>
          <w:szCs w:val="24"/>
        </w:rPr>
        <w:t>repeat incidents</w:t>
      </w:r>
      <w:r w:rsidR="00650880" w:rsidRPr="001F5812">
        <w:rPr>
          <w:rFonts w:asciiTheme="minorHAnsi" w:hAnsiTheme="minorHAnsi" w:cstheme="minorHAnsi"/>
          <w:b/>
          <w:i w:val="0"/>
          <w:color w:val="auto"/>
          <w:szCs w:val="24"/>
        </w:rPr>
        <w:t>, and</w:t>
      </w:r>
      <w:r w:rsidR="0033546C" w:rsidRPr="001F5812">
        <w:rPr>
          <w:rFonts w:asciiTheme="minorHAnsi" w:hAnsiTheme="minorHAnsi" w:cstheme="minorHAnsi"/>
          <w:b/>
          <w:i w:val="0"/>
          <w:color w:val="auto"/>
          <w:szCs w:val="24"/>
        </w:rPr>
        <w:t xml:space="preserve"> the frequency of remedial training or technical assistance</w:t>
      </w:r>
      <w:r w:rsidRPr="001F5812">
        <w:rPr>
          <w:rFonts w:asciiTheme="minorHAnsi" w:hAnsiTheme="minorHAnsi" w:cstheme="minorHAnsi"/>
          <w:b/>
          <w:i w:val="0"/>
          <w:color w:val="auto"/>
          <w:szCs w:val="24"/>
        </w:rPr>
        <w:t>.</w:t>
      </w:r>
    </w:p>
    <w:p w14:paraId="56504A47" w14:textId="6EAB96B1" w:rsidR="00C939FC" w:rsidRPr="001F5812" w:rsidRDefault="008D28DB" w:rsidP="00B56862">
      <w:pPr>
        <w:pStyle w:val="ListParagraph"/>
        <w:spacing w:after="240" w:line="240" w:lineRule="auto"/>
        <w:ind w:left="360"/>
        <w:rPr>
          <w:rFonts w:asciiTheme="minorHAnsi" w:hAnsiTheme="minorHAnsi" w:cstheme="minorHAnsi"/>
          <w:i w:val="0"/>
          <w:color w:val="auto"/>
          <w:szCs w:val="24"/>
        </w:rPr>
      </w:pPr>
      <w:r w:rsidRPr="001F5812">
        <w:rPr>
          <w:rFonts w:asciiTheme="minorHAnsi" w:hAnsiTheme="minorHAnsi" w:cstheme="minorHAnsi"/>
          <w:i w:val="0"/>
          <w:color w:val="auto"/>
          <w:szCs w:val="24"/>
        </w:rPr>
        <w:t>The waiver application proposes two performance measures to demonstrate a system for effective resolution of incidents</w:t>
      </w:r>
      <w:r w:rsidR="00EA4145" w:rsidRPr="001F5812">
        <w:rPr>
          <w:rFonts w:asciiTheme="minorHAnsi" w:hAnsiTheme="minorHAnsi" w:cstheme="minorHAnsi"/>
          <w:i w:val="0"/>
          <w:color w:val="auto"/>
          <w:szCs w:val="24"/>
        </w:rPr>
        <w:t xml:space="preserve"> and prevention of future incidents, </w:t>
      </w:r>
      <w:r w:rsidR="00EC51D3" w:rsidRPr="001F5812">
        <w:rPr>
          <w:rFonts w:asciiTheme="minorHAnsi" w:hAnsiTheme="minorHAnsi" w:cstheme="minorHAnsi"/>
          <w:i w:val="0"/>
          <w:color w:val="auto"/>
          <w:szCs w:val="24"/>
        </w:rPr>
        <w:t xml:space="preserve">and both of these measures are focused </w:t>
      </w:r>
      <w:r w:rsidR="00EB6CAB" w:rsidRPr="001F5812">
        <w:rPr>
          <w:rFonts w:asciiTheme="minorHAnsi" w:hAnsiTheme="minorHAnsi" w:cstheme="minorHAnsi"/>
          <w:i w:val="0"/>
          <w:color w:val="auto"/>
          <w:szCs w:val="24"/>
        </w:rPr>
        <w:t xml:space="preserve">only </w:t>
      </w:r>
      <w:r w:rsidR="00EC51D3" w:rsidRPr="001F5812">
        <w:rPr>
          <w:rFonts w:asciiTheme="minorHAnsi" w:hAnsiTheme="minorHAnsi" w:cstheme="minorHAnsi"/>
          <w:i w:val="0"/>
          <w:color w:val="auto"/>
          <w:szCs w:val="24"/>
        </w:rPr>
        <w:t>on detection and review</w:t>
      </w:r>
      <w:r w:rsidR="00DA2D02" w:rsidRPr="001F5812">
        <w:rPr>
          <w:rFonts w:asciiTheme="minorHAnsi" w:hAnsiTheme="minorHAnsi" w:cstheme="minorHAnsi"/>
          <w:i w:val="0"/>
          <w:color w:val="auto"/>
          <w:szCs w:val="24"/>
        </w:rPr>
        <w:t xml:space="preserve"> of past incidents</w:t>
      </w:r>
      <w:r w:rsidRPr="001F5812">
        <w:rPr>
          <w:rFonts w:asciiTheme="minorHAnsi" w:hAnsiTheme="minorHAnsi" w:cstheme="minorHAnsi"/>
          <w:i w:val="0"/>
          <w:color w:val="auto"/>
          <w:szCs w:val="24"/>
        </w:rPr>
        <w:t>. The first performance measure – the percent of critical incidents reported within the required time frames – speaks to the existence</w:t>
      </w:r>
      <w:r w:rsidR="00725A47" w:rsidRPr="001F5812">
        <w:rPr>
          <w:rFonts w:asciiTheme="minorHAnsi" w:hAnsiTheme="minorHAnsi" w:cstheme="minorHAnsi"/>
          <w:i w:val="0"/>
          <w:color w:val="auto"/>
          <w:szCs w:val="24"/>
        </w:rPr>
        <w:t xml:space="preserve"> and use</w:t>
      </w:r>
      <w:r w:rsidRPr="001F5812">
        <w:rPr>
          <w:rFonts w:asciiTheme="minorHAnsi" w:hAnsiTheme="minorHAnsi" w:cstheme="minorHAnsi"/>
          <w:i w:val="0"/>
          <w:color w:val="auto"/>
          <w:szCs w:val="24"/>
        </w:rPr>
        <w:t xml:space="preserve"> of a reporting system but not the system’s effectiveness in </w:t>
      </w:r>
      <w:r w:rsidR="00EA4145" w:rsidRPr="001F5812">
        <w:rPr>
          <w:rFonts w:asciiTheme="minorHAnsi" w:hAnsiTheme="minorHAnsi" w:cstheme="minorHAnsi"/>
          <w:i w:val="0"/>
          <w:color w:val="auto"/>
          <w:szCs w:val="24"/>
        </w:rPr>
        <w:t xml:space="preserve">resolving the incident or </w:t>
      </w:r>
      <w:r w:rsidRPr="001F5812">
        <w:rPr>
          <w:rFonts w:asciiTheme="minorHAnsi" w:hAnsiTheme="minorHAnsi" w:cstheme="minorHAnsi"/>
          <w:i w:val="0"/>
          <w:color w:val="auto"/>
          <w:szCs w:val="24"/>
        </w:rPr>
        <w:t>preventing recurrence. The second performance measure – percent of licensed providers that administer medications and were not cited for failure to review medication errors at least quarterly – speaks t</w:t>
      </w:r>
      <w:r w:rsidR="00C939FC" w:rsidRPr="001F5812">
        <w:rPr>
          <w:rFonts w:asciiTheme="minorHAnsi" w:hAnsiTheme="minorHAnsi" w:cstheme="minorHAnsi"/>
          <w:i w:val="0"/>
          <w:color w:val="auto"/>
          <w:szCs w:val="24"/>
        </w:rPr>
        <w:t>o the review of past incidents, but not the</w:t>
      </w:r>
      <w:r w:rsidR="00073082" w:rsidRPr="001F5812">
        <w:rPr>
          <w:rFonts w:asciiTheme="minorHAnsi" w:hAnsiTheme="minorHAnsi" w:cstheme="minorHAnsi"/>
          <w:i w:val="0"/>
          <w:color w:val="auto"/>
          <w:szCs w:val="24"/>
        </w:rPr>
        <w:t xml:space="preserve"> resolution of the past incidents nor the</w:t>
      </w:r>
      <w:r w:rsidR="00C939FC" w:rsidRPr="001F5812">
        <w:rPr>
          <w:rFonts w:asciiTheme="minorHAnsi" w:hAnsiTheme="minorHAnsi" w:cstheme="minorHAnsi"/>
          <w:i w:val="0"/>
          <w:color w:val="auto"/>
          <w:szCs w:val="24"/>
        </w:rPr>
        <w:t xml:space="preserve"> system’s effectiveness in preventing recurrence</w:t>
      </w:r>
      <w:r w:rsidRPr="001F5812">
        <w:rPr>
          <w:rFonts w:asciiTheme="minorHAnsi" w:hAnsiTheme="minorHAnsi" w:cstheme="minorHAnsi"/>
          <w:i w:val="0"/>
          <w:color w:val="auto"/>
          <w:szCs w:val="24"/>
        </w:rPr>
        <w:t xml:space="preserve">. </w:t>
      </w:r>
    </w:p>
    <w:p w14:paraId="5120D865" w14:textId="355BEDD1" w:rsidR="00E8192C" w:rsidRPr="001F5812" w:rsidRDefault="00C939FC" w:rsidP="00B56862">
      <w:pPr>
        <w:pStyle w:val="ListParagraph"/>
        <w:spacing w:after="240" w:line="240" w:lineRule="auto"/>
        <w:ind w:left="360"/>
        <w:rPr>
          <w:rFonts w:asciiTheme="minorHAnsi" w:hAnsiTheme="minorHAnsi" w:cstheme="minorHAnsi"/>
          <w:i w:val="0"/>
          <w:color w:val="auto"/>
          <w:szCs w:val="24"/>
        </w:rPr>
      </w:pPr>
      <w:r w:rsidRPr="001F5812">
        <w:rPr>
          <w:rFonts w:asciiTheme="minorHAnsi" w:hAnsiTheme="minorHAnsi" w:cstheme="minorHAnsi"/>
          <w:i w:val="0"/>
          <w:color w:val="auto"/>
          <w:szCs w:val="24"/>
        </w:rPr>
        <w:t xml:space="preserve">The Board therefore recommends </w:t>
      </w:r>
      <w:r w:rsidR="00E8192C" w:rsidRPr="001F5812">
        <w:rPr>
          <w:rFonts w:asciiTheme="minorHAnsi" w:hAnsiTheme="minorHAnsi" w:cstheme="minorHAnsi"/>
          <w:i w:val="0"/>
          <w:color w:val="auto"/>
          <w:szCs w:val="24"/>
        </w:rPr>
        <w:t xml:space="preserve">adding </w:t>
      </w:r>
      <w:r w:rsidRPr="001F5812">
        <w:rPr>
          <w:rFonts w:asciiTheme="minorHAnsi" w:hAnsiTheme="minorHAnsi" w:cstheme="minorHAnsi"/>
          <w:i w:val="0"/>
          <w:color w:val="auto"/>
          <w:szCs w:val="24"/>
        </w:rPr>
        <w:t xml:space="preserve">a third performance measure that speaks to </w:t>
      </w:r>
      <w:r w:rsidR="00E8192C" w:rsidRPr="001F5812">
        <w:rPr>
          <w:rFonts w:asciiTheme="minorHAnsi" w:hAnsiTheme="minorHAnsi" w:cstheme="minorHAnsi"/>
          <w:i w:val="0"/>
          <w:color w:val="auto"/>
          <w:szCs w:val="24"/>
        </w:rPr>
        <w:t>the verified implementation of corrective action plans. As stated in the “Responsibility for Review of and Response to Critical Events or Incidents” section, DBHDS requires providers to submit corrective action plans within 15 business days of a licensing report that finds noncompliance with any licensing regulations. Corrective action plans are only effective if they are implemented. The waiver application should therefore add a performance measure that addresses whether the plans were implemented. For example, the performance measure could be, “The percentage of critical incidents for which the required corrective action plan was verified by DBHDS as being implemented</w:t>
      </w:r>
      <w:r w:rsidR="00E16632" w:rsidRPr="001F5812">
        <w:rPr>
          <w:rFonts w:asciiTheme="minorHAnsi" w:hAnsiTheme="minorHAnsi" w:cstheme="minorHAnsi"/>
          <w:i w:val="0"/>
          <w:color w:val="auto"/>
          <w:szCs w:val="24"/>
        </w:rPr>
        <w:t xml:space="preserve"> within the original</w:t>
      </w:r>
      <w:r w:rsidR="00B57821" w:rsidRPr="001F5812">
        <w:rPr>
          <w:rFonts w:asciiTheme="minorHAnsi" w:hAnsiTheme="minorHAnsi" w:cstheme="minorHAnsi"/>
          <w:i w:val="0"/>
          <w:color w:val="auto"/>
          <w:szCs w:val="24"/>
        </w:rPr>
        <w:t>ly</w:t>
      </w:r>
      <w:r w:rsidR="00E16632" w:rsidRPr="001F5812">
        <w:rPr>
          <w:rFonts w:asciiTheme="minorHAnsi" w:hAnsiTheme="minorHAnsi" w:cstheme="minorHAnsi"/>
          <w:i w:val="0"/>
          <w:color w:val="auto"/>
          <w:szCs w:val="24"/>
        </w:rPr>
        <w:t xml:space="preserve"> required time frame</w:t>
      </w:r>
      <w:r w:rsidR="00E8192C" w:rsidRPr="001F5812">
        <w:rPr>
          <w:rFonts w:asciiTheme="minorHAnsi" w:hAnsiTheme="minorHAnsi" w:cstheme="minorHAnsi"/>
          <w:i w:val="0"/>
          <w:color w:val="auto"/>
          <w:szCs w:val="24"/>
        </w:rPr>
        <w:t>.” A similar performance measure is already proposed for cases of abuse, neglect, and exploitation in the section titled, “Sub-assurance: The state demonstrates on an ongoing basis that it identifies, addresses, and seeks to prevent instances of abuse, neglect, exploitation, and unexplained death.”</w:t>
      </w:r>
    </w:p>
    <w:p w14:paraId="69113518" w14:textId="464D8946" w:rsidR="00650880" w:rsidRPr="001F5812" w:rsidRDefault="00E8192C" w:rsidP="00B56862">
      <w:pPr>
        <w:pStyle w:val="ListParagraph"/>
        <w:spacing w:after="240" w:line="240" w:lineRule="auto"/>
        <w:ind w:left="360"/>
        <w:rPr>
          <w:rFonts w:asciiTheme="minorHAnsi" w:hAnsiTheme="minorHAnsi" w:cstheme="minorHAnsi"/>
          <w:i w:val="0"/>
          <w:color w:val="auto"/>
          <w:szCs w:val="24"/>
        </w:rPr>
      </w:pPr>
      <w:r w:rsidRPr="001F5812">
        <w:rPr>
          <w:rFonts w:asciiTheme="minorHAnsi" w:hAnsiTheme="minorHAnsi" w:cstheme="minorHAnsi"/>
          <w:i w:val="0"/>
          <w:color w:val="auto"/>
          <w:szCs w:val="24"/>
        </w:rPr>
        <w:t xml:space="preserve">The Board also recommends a fourth performance measure that speaks to the </w:t>
      </w:r>
      <w:r w:rsidR="00C939FC" w:rsidRPr="001F5812">
        <w:rPr>
          <w:rFonts w:asciiTheme="minorHAnsi" w:hAnsiTheme="minorHAnsi" w:cstheme="minorHAnsi"/>
          <w:i w:val="0"/>
          <w:color w:val="auto"/>
          <w:szCs w:val="24"/>
        </w:rPr>
        <w:t xml:space="preserve">recurrence rates of a given incident by a given provider. For example, the performance measure could be “The percentage of incidents that recur at the same provider within three years.” </w:t>
      </w:r>
      <w:r w:rsidR="00571C91" w:rsidRPr="001F5812">
        <w:rPr>
          <w:rFonts w:asciiTheme="minorHAnsi" w:hAnsiTheme="minorHAnsi" w:cstheme="minorHAnsi"/>
          <w:i w:val="0"/>
          <w:color w:val="auto"/>
          <w:szCs w:val="24"/>
        </w:rPr>
        <w:t xml:space="preserve">While some subjectivity may be required in determining whether </w:t>
      </w:r>
      <w:r w:rsidR="00A21734" w:rsidRPr="001F5812">
        <w:rPr>
          <w:rFonts w:asciiTheme="minorHAnsi" w:hAnsiTheme="minorHAnsi" w:cstheme="minorHAnsi"/>
          <w:i w:val="0"/>
          <w:color w:val="auto"/>
          <w:szCs w:val="24"/>
        </w:rPr>
        <w:t xml:space="preserve">an </w:t>
      </w:r>
      <w:r w:rsidR="00571C91" w:rsidRPr="001F5812">
        <w:rPr>
          <w:rFonts w:asciiTheme="minorHAnsi" w:hAnsiTheme="minorHAnsi" w:cstheme="minorHAnsi"/>
          <w:i w:val="0"/>
          <w:color w:val="auto"/>
          <w:szCs w:val="24"/>
        </w:rPr>
        <w:t>incident</w:t>
      </w:r>
      <w:r w:rsidR="00A21734" w:rsidRPr="001F5812">
        <w:rPr>
          <w:rFonts w:asciiTheme="minorHAnsi" w:hAnsiTheme="minorHAnsi" w:cstheme="minorHAnsi"/>
          <w:i w:val="0"/>
          <w:color w:val="auto"/>
          <w:szCs w:val="24"/>
        </w:rPr>
        <w:t xml:space="preserve"> is</w:t>
      </w:r>
      <w:r w:rsidR="00571C91" w:rsidRPr="001F5812">
        <w:rPr>
          <w:rFonts w:asciiTheme="minorHAnsi" w:hAnsiTheme="minorHAnsi" w:cstheme="minorHAnsi"/>
          <w:i w:val="0"/>
          <w:color w:val="auto"/>
          <w:szCs w:val="24"/>
        </w:rPr>
        <w:t xml:space="preserve"> similar</w:t>
      </w:r>
      <w:r w:rsidR="00A21734" w:rsidRPr="001F5812">
        <w:rPr>
          <w:rFonts w:asciiTheme="minorHAnsi" w:hAnsiTheme="minorHAnsi" w:cstheme="minorHAnsi"/>
          <w:i w:val="0"/>
          <w:color w:val="auto"/>
          <w:szCs w:val="24"/>
        </w:rPr>
        <w:t xml:space="preserve"> enough to a prior incident to be considered a recurrence</w:t>
      </w:r>
      <w:r w:rsidR="00571C91" w:rsidRPr="001F5812">
        <w:rPr>
          <w:rFonts w:asciiTheme="minorHAnsi" w:hAnsiTheme="minorHAnsi" w:cstheme="minorHAnsi"/>
          <w:i w:val="0"/>
          <w:color w:val="auto"/>
          <w:szCs w:val="24"/>
        </w:rPr>
        <w:t>, the Board believes this can be done in a relatively objective manner. In fact, the Board was able to do this type of analy</w:t>
      </w:r>
      <w:r w:rsidR="0098550F" w:rsidRPr="001F5812">
        <w:rPr>
          <w:rFonts w:asciiTheme="minorHAnsi" w:hAnsiTheme="minorHAnsi" w:cstheme="minorHAnsi"/>
          <w:i w:val="0"/>
          <w:color w:val="auto"/>
          <w:szCs w:val="24"/>
        </w:rPr>
        <w:t xml:space="preserve">sis for violations found </w:t>
      </w:r>
      <w:r w:rsidR="007966CB" w:rsidRPr="001F5812">
        <w:rPr>
          <w:rFonts w:asciiTheme="minorHAnsi" w:hAnsiTheme="minorHAnsi" w:cstheme="minorHAnsi"/>
          <w:i w:val="0"/>
          <w:color w:val="auto"/>
          <w:szCs w:val="24"/>
        </w:rPr>
        <w:t>through</w:t>
      </w:r>
      <w:r w:rsidR="0098550F" w:rsidRPr="001F5812">
        <w:rPr>
          <w:rFonts w:asciiTheme="minorHAnsi" w:hAnsiTheme="minorHAnsi" w:cstheme="minorHAnsi"/>
          <w:i w:val="0"/>
          <w:color w:val="auto"/>
          <w:szCs w:val="24"/>
        </w:rPr>
        <w:t xml:space="preserve"> annual re-certifications of intermediate care facilities for individuals with intellectual disabilities (ICF/IIDs). </w:t>
      </w:r>
    </w:p>
    <w:p w14:paraId="5853CB90" w14:textId="6C8B9B1F" w:rsidR="00F43273" w:rsidRPr="001F5812" w:rsidRDefault="00650880" w:rsidP="00B56862">
      <w:pPr>
        <w:pStyle w:val="ListParagraph"/>
        <w:spacing w:after="240" w:line="240" w:lineRule="auto"/>
        <w:ind w:left="360"/>
      </w:pPr>
      <w:r w:rsidRPr="001F5812">
        <w:rPr>
          <w:rFonts w:asciiTheme="minorHAnsi" w:hAnsiTheme="minorHAnsi" w:cstheme="minorHAnsi"/>
          <w:i w:val="0"/>
          <w:color w:val="auto"/>
          <w:szCs w:val="24"/>
        </w:rPr>
        <w:t xml:space="preserve">The Board also recommends a fifth performance measure that speaks to the provision of mandatory training and technical assistance to providers with repeated noncompliance. As stated in the “Responsibility for Review of and Response to Critical Events or Incidents” and “Methods for Remediation/Fixing Individual Problems” sections, providers with a history of noncompliance will be required to undergo mandatory training and technical assistance. The waiver application should include a performance measure like the following, “The percentage of providers who underwent mandatory remedial training and/or technical assistance.” This measure would be an indicator not only of the extent to which providers </w:t>
      </w:r>
      <w:r w:rsidRPr="001F5812">
        <w:rPr>
          <w:rFonts w:asciiTheme="minorHAnsi" w:hAnsiTheme="minorHAnsi" w:cstheme="minorHAnsi"/>
          <w:i w:val="0"/>
          <w:color w:val="auto"/>
          <w:szCs w:val="24"/>
        </w:rPr>
        <w:lastRenderedPageBreak/>
        <w:t>are repeatedly failing to comply, but also of the extent to which steps are being taken to prevent recurrence.</w:t>
      </w:r>
    </w:p>
    <w:p w14:paraId="1E8BF5C0" w14:textId="7EB85F5F" w:rsidR="008D09F6" w:rsidRPr="001F5812" w:rsidRDefault="008D09F6" w:rsidP="000B0FA4">
      <w:pPr>
        <w:spacing w:after="240" w:line="240" w:lineRule="auto"/>
        <w:outlineLvl w:val="1"/>
        <w:rPr>
          <w:rFonts w:asciiTheme="minorHAnsi" w:hAnsiTheme="minorHAnsi" w:cstheme="minorHAnsi"/>
          <w:b/>
          <w:i w:val="0"/>
          <w:color w:val="auto"/>
          <w:szCs w:val="24"/>
          <w:u w:val="single"/>
        </w:rPr>
      </w:pPr>
      <w:r w:rsidRPr="001F5812">
        <w:rPr>
          <w:rFonts w:asciiTheme="minorHAnsi" w:hAnsiTheme="minorHAnsi" w:cstheme="minorHAnsi"/>
          <w:b/>
          <w:i w:val="0"/>
          <w:color w:val="auto"/>
          <w:szCs w:val="24"/>
          <w:u w:val="single"/>
        </w:rPr>
        <w:t xml:space="preserve">Appendix </w:t>
      </w:r>
      <w:r w:rsidR="00B97353" w:rsidRPr="001F5812">
        <w:rPr>
          <w:rFonts w:asciiTheme="minorHAnsi" w:hAnsiTheme="minorHAnsi" w:cstheme="minorHAnsi"/>
          <w:b/>
          <w:i w:val="0"/>
          <w:color w:val="auto"/>
          <w:szCs w:val="24"/>
          <w:u w:val="single"/>
        </w:rPr>
        <w:t>I</w:t>
      </w:r>
      <w:r w:rsidR="00CD5E99" w:rsidRPr="001F5812">
        <w:rPr>
          <w:rFonts w:asciiTheme="minorHAnsi" w:hAnsiTheme="minorHAnsi" w:cstheme="minorHAnsi"/>
          <w:b/>
          <w:i w:val="0"/>
          <w:color w:val="auto"/>
          <w:szCs w:val="24"/>
          <w:u w:val="single"/>
        </w:rPr>
        <w:t>-2</w:t>
      </w:r>
      <w:r w:rsidR="00B97353" w:rsidRPr="001F5812">
        <w:rPr>
          <w:rFonts w:asciiTheme="minorHAnsi" w:hAnsiTheme="minorHAnsi" w:cstheme="minorHAnsi"/>
          <w:b/>
          <w:i w:val="0"/>
          <w:color w:val="auto"/>
          <w:szCs w:val="24"/>
          <w:u w:val="single"/>
        </w:rPr>
        <w:t>:</w:t>
      </w:r>
      <w:r w:rsidR="007C7817" w:rsidRPr="001F5812">
        <w:rPr>
          <w:rFonts w:asciiTheme="minorHAnsi" w:hAnsiTheme="minorHAnsi" w:cstheme="minorHAnsi"/>
          <w:b/>
          <w:i w:val="0"/>
          <w:color w:val="auto"/>
          <w:szCs w:val="24"/>
          <w:u w:val="single"/>
        </w:rPr>
        <w:t xml:space="preserve"> </w:t>
      </w:r>
      <w:r w:rsidR="00B97353" w:rsidRPr="001F5812">
        <w:rPr>
          <w:rFonts w:asciiTheme="minorHAnsi" w:hAnsiTheme="minorHAnsi" w:cstheme="minorHAnsi"/>
          <w:b/>
          <w:i w:val="0"/>
          <w:color w:val="auto"/>
          <w:szCs w:val="24"/>
          <w:u w:val="single"/>
        </w:rPr>
        <w:t>Financial Accountability</w:t>
      </w:r>
      <w:r w:rsidR="00013D12" w:rsidRPr="001F5812">
        <w:rPr>
          <w:rFonts w:asciiTheme="minorHAnsi" w:hAnsiTheme="minorHAnsi" w:cstheme="minorHAnsi"/>
          <w:b/>
          <w:i w:val="0"/>
          <w:color w:val="auto"/>
          <w:szCs w:val="24"/>
          <w:u w:val="single"/>
        </w:rPr>
        <w:t>-</w:t>
      </w:r>
      <w:r w:rsidR="00B97353" w:rsidRPr="001F5812">
        <w:rPr>
          <w:rFonts w:asciiTheme="minorHAnsi" w:hAnsiTheme="minorHAnsi" w:cstheme="minorHAnsi"/>
          <w:b/>
          <w:i w:val="0"/>
          <w:color w:val="auto"/>
          <w:szCs w:val="24"/>
          <w:u w:val="single"/>
        </w:rPr>
        <w:t xml:space="preserve"> Rates, Billing, and Claims</w:t>
      </w:r>
    </w:p>
    <w:p w14:paraId="710F4477" w14:textId="1DE6441E" w:rsidR="00B97353" w:rsidRPr="001F5812" w:rsidRDefault="00A82BFD" w:rsidP="001F5812">
      <w:pPr>
        <w:pStyle w:val="ListParagraph"/>
        <w:numPr>
          <w:ilvl w:val="0"/>
          <w:numId w:val="28"/>
        </w:numPr>
        <w:spacing w:after="240" w:line="240" w:lineRule="auto"/>
        <w:rPr>
          <w:rFonts w:asciiTheme="minorHAnsi" w:hAnsiTheme="minorHAnsi" w:cstheme="minorHAnsi"/>
          <w:b/>
          <w:i w:val="0"/>
          <w:color w:val="auto"/>
          <w:szCs w:val="24"/>
        </w:rPr>
      </w:pPr>
      <w:r w:rsidRPr="001F5812" w:rsidDel="00A82BFD">
        <w:rPr>
          <w:rFonts w:asciiTheme="minorHAnsi" w:hAnsiTheme="minorHAnsi" w:cstheme="minorHAnsi"/>
          <w:b/>
          <w:i w:val="0"/>
          <w:color w:val="auto"/>
          <w:szCs w:val="24"/>
        </w:rPr>
        <w:t xml:space="preserve"> </w:t>
      </w:r>
      <w:r w:rsidR="007A4DE8" w:rsidRPr="001F5812">
        <w:rPr>
          <w:rFonts w:asciiTheme="minorHAnsi" w:hAnsiTheme="minorHAnsi" w:cstheme="minorHAnsi"/>
          <w:b/>
          <w:i w:val="0"/>
          <w:color w:val="auto"/>
          <w:szCs w:val="24"/>
        </w:rPr>
        <w:t xml:space="preserve">“Flow of Billings” Section: </w:t>
      </w:r>
      <w:r w:rsidR="00B97353" w:rsidRPr="001F5812">
        <w:rPr>
          <w:rFonts w:asciiTheme="minorHAnsi" w:hAnsiTheme="minorHAnsi" w:cstheme="minorHAnsi"/>
          <w:b/>
          <w:i w:val="0"/>
          <w:color w:val="auto"/>
          <w:szCs w:val="24"/>
        </w:rPr>
        <w:t>References to Public Partnerships, LLC</w:t>
      </w:r>
      <w:r w:rsidR="00DB7760" w:rsidRPr="001F5812">
        <w:rPr>
          <w:rFonts w:asciiTheme="minorHAnsi" w:hAnsiTheme="minorHAnsi" w:cstheme="minorHAnsi"/>
          <w:b/>
          <w:i w:val="0"/>
          <w:color w:val="auto"/>
          <w:szCs w:val="24"/>
        </w:rPr>
        <w:t xml:space="preserve"> or PPL</w:t>
      </w:r>
      <w:r w:rsidR="00B97353" w:rsidRPr="001F5812">
        <w:rPr>
          <w:rFonts w:asciiTheme="minorHAnsi" w:hAnsiTheme="minorHAnsi" w:cstheme="minorHAnsi"/>
          <w:b/>
          <w:i w:val="0"/>
          <w:color w:val="auto"/>
          <w:szCs w:val="24"/>
        </w:rPr>
        <w:t xml:space="preserve"> should be changed to Consumer Direct Care Network, the new fiscal broker.</w:t>
      </w:r>
    </w:p>
    <w:p w14:paraId="6887855C" w14:textId="7DB51765" w:rsidR="00B97353" w:rsidRPr="001F5812" w:rsidRDefault="00B97353" w:rsidP="000B0FA4">
      <w:pPr>
        <w:spacing w:after="240" w:line="240" w:lineRule="auto"/>
        <w:outlineLvl w:val="1"/>
        <w:rPr>
          <w:rFonts w:asciiTheme="minorHAnsi" w:hAnsiTheme="minorHAnsi" w:cstheme="minorHAnsi"/>
          <w:b/>
          <w:i w:val="0"/>
          <w:color w:val="auto"/>
          <w:szCs w:val="24"/>
          <w:u w:val="single"/>
        </w:rPr>
      </w:pPr>
      <w:r w:rsidRPr="001F5812">
        <w:rPr>
          <w:rFonts w:asciiTheme="minorHAnsi" w:hAnsiTheme="minorHAnsi" w:cstheme="minorHAnsi"/>
          <w:b/>
          <w:i w:val="0"/>
          <w:color w:val="auto"/>
          <w:szCs w:val="24"/>
          <w:u w:val="single"/>
        </w:rPr>
        <w:t>Appendix I</w:t>
      </w:r>
      <w:r w:rsidR="00CD5E99" w:rsidRPr="001F5812">
        <w:rPr>
          <w:rFonts w:asciiTheme="minorHAnsi" w:hAnsiTheme="minorHAnsi" w:cstheme="minorHAnsi"/>
          <w:b/>
          <w:i w:val="0"/>
          <w:color w:val="auto"/>
          <w:szCs w:val="24"/>
          <w:u w:val="single"/>
        </w:rPr>
        <w:t>-3</w:t>
      </w:r>
      <w:r w:rsidRPr="001F5812">
        <w:rPr>
          <w:rFonts w:asciiTheme="minorHAnsi" w:hAnsiTheme="minorHAnsi" w:cstheme="minorHAnsi"/>
          <w:b/>
          <w:i w:val="0"/>
          <w:color w:val="auto"/>
          <w:szCs w:val="24"/>
          <w:u w:val="single"/>
        </w:rPr>
        <w:t>:</w:t>
      </w:r>
      <w:r w:rsidR="007C7817" w:rsidRPr="001F5812">
        <w:rPr>
          <w:rFonts w:asciiTheme="minorHAnsi" w:hAnsiTheme="minorHAnsi" w:cstheme="minorHAnsi"/>
          <w:b/>
          <w:i w:val="0"/>
          <w:color w:val="auto"/>
          <w:szCs w:val="24"/>
          <w:u w:val="single"/>
        </w:rPr>
        <w:t xml:space="preserve"> </w:t>
      </w:r>
      <w:r w:rsidR="00013D12" w:rsidRPr="001F5812">
        <w:rPr>
          <w:rFonts w:asciiTheme="minorHAnsi" w:hAnsiTheme="minorHAnsi" w:cstheme="minorHAnsi"/>
          <w:b/>
          <w:i w:val="0"/>
          <w:color w:val="auto"/>
          <w:szCs w:val="24"/>
          <w:u w:val="single"/>
        </w:rPr>
        <w:t>Financial Acc</w:t>
      </w:r>
      <w:bookmarkStart w:id="0" w:name="_GoBack"/>
      <w:bookmarkEnd w:id="0"/>
      <w:r w:rsidR="00013D12" w:rsidRPr="001F5812">
        <w:rPr>
          <w:rFonts w:asciiTheme="minorHAnsi" w:hAnsiTheme="minorHAnsi" w:cstheme="minorHAnsi"/>
          <w:b/>
          <w:i w:val="0"/>
          <w:color w:val="auto"/>
          <w:szCs w:val="24"/>
          <w:u w:val="single"/>
        </w:rPr>
        <w:t xml:space="preserve">ountability- </w:t>
      </w:r>
      <w:r w:rsidR="00D801A2" w:rsidRPr="001F5812">
        <w:rPr>
          <w:rFonts w:asciiTheme="minorHAnsi" w:hAnsiTheme="minorHAnsi" w:cstheme="minorHAnsi"/>
          <w:b/>
          <w:i w:val="0"/>
          <w:color w:val="auto"/>
          <w:szCs w:val="24"/>
          <w:u w:val="single"/>
        </w:rPr>
        <w:t>Payment</w:t>
      </w:r>
    </w:p>
    <w:p w14:paraId="6531B555" w14:textId="75761444" w:rsidR="00D801A2" w:rsidRPr="001F5812" w:rsidRDefault="00567C3F" w:rsidP="001F5812">
      <w:pPr>
        <w:pStyle w:val="ListParagraph"/>
        <w:numPr>
          <w:ilvl w:val="0"/>
          <w:numId w:val="28"/>
        </w:numPr>
        <w:spacing w:after="240" w:line="240" w:lineRule="auto"/>
        <w:rPr>
          <w:rFonts w:asciiTheme="minorHAnsi" w:hAnsiTheme="minorHAnsi" w:cstheme="minorHAnsi"/>
          <w:b/>
          <w:i w:val="0"/>
          <w:color w:val="auto"/>
          <w:szCs w:val="24"/>
        </w:rPr>
      </w:pPr>
      <w:r w:rsidRPr="001F5812">
        <w:rPr>
          <w:rFonts w:asciiTheme="minorHAnsi" w:hAnsiTheme="minorHAnsi" w:cstheme="minorHAnsi"/>
          <w:b/>
          <w:i w:val="0"/>
          <w:color w:val="auto"/>
          <w:szCs w:val="24"/>
        </w:rPr>
        <w:t xml:space="preserve">“Method of payments – MMIS” </w:t>
      </w:r>
      <w:r w:rsidR="007F29AA" w:rsidRPr="001F5812">
        <w:rPr>
          <w:rFonts w:asciiTheme="minorHAnsi" w:hAnsiTheme="minorHAnsi" w:cstheme="minorHAnsi"/>
          <w:b/>
          <w:i w:val="0"/>
          <w:color w:val="auto"/>
          <w:szCs w:val="24"/>
        </w:rPr>
        <w:t xml:space="preserve">and “Direct payment” </w:t>
      </w:r>
      <w:r w:rsidRPr="001F5812">
        <w:rPr>
          <w:rFonts w:asciiTheme="minorHAnsi" w:hAnsiTheme="minorHAnsi" w:cstheme="minorHAnsi"/>
          <w:b/>
          <w:i w:val="0"/>
          <w:color w:val="auto"/>
          <w:szCs w:val="24"/>
        </w:rPr>
        <w:t>Section</w:t>
      </w:r>
      <w:r w:rsidR="007F29AA" w:rsidRPr="001F5812">
        <w:rPr>
          <w:rFonts w:asciiTheme="minorHAnsi" w:hAnsiTheme="minorHAnsi" w:cstheme="minorHAnsi"/>
          <w:b/>
          <w:i w:val="0"/>
          <w:color w:val="auto"/>
          <w:szCs w:val="24"/>
        </w:rPr>
        <w:t>s</w:t>
      </w:r>
      <w:r w:rsidRPr="001F5812">
        <w:rPr>
          <w:rFonts w:asciiTheme="minorHAnsi" w:hAnsiTheme="minorHAnsi" w:cstheme="minorHAnsi"/>
          <w:b/>
          <w:i w:val="0"/>
          <w:color w:val="auto"/>
          <w:szCs w:val="24"/>
        </w:rPr>
        <w:t xml:space="preserve">: </w:t>
      </w:r>
      <w:r w:rsidR="00D801A2" w:rsidRPr="001F5812">
        <w:rPr>
          <w:rFonts w:asciiTheme="minorHAnsi" w:hAnsiTheme="minorHAnsi" w:cstheme="minorHAnsi"/>
          <w:b/>
          <w:i w:val="0"/>
          <w:color w:val="auto"/>
          <w:szCs w:val="24"/>
        </w:rPr>
        <w:t>References to Public Partnerships, LLC should be changed to Consumer Direct Care Network, the new fiscal broker.</w:t>
      </w:r>
    </w:p>
    <w:p w14:paraId="2D615ABD" w14:textId="37894EA6" w:rsidR="00D801A2" w:rsidRPr="001F5812" w:rsidRDefault="008E281F" w:rsidP="001F5812">
      <w:pPr>
        <w:pStyle w:val="ListParagraph"/>
        <w:numPr>
          <w:ilvl w:val="0"/>
          <w:numId w:val="28"/>
        </w:numPr>
        <w:spacing w:after="240" w:line="240" w:lineRule="auto"/>
        <w:rPr>
          <w:rFonts w:asciiTheme="minorHAnsi" w:hAnsiTheme="minorHAnsi" w:cstheme="minorHAnsi"/>
          <w:b/>
          <w:color w:val="auto"/>
          <w:szCs w:val="24"/>
        </w:rPr>
      </w:pPr>
      <w:r w:rsidRPr="001F5812">
        <w:rPr>
          <w:rFonts w:asciiTheme="minorHAnsi" w:hAnsiTheme="minorHAnsi" w:cstheme="minorHAnsi"/>
          <w:b/>
          <w:i w:val="0"/>
          <w:color w:val="auto"/>
          <w:szCs w:val="24"/>
        </w:rPr>
        <w:t xml:space="preserve"> </w:t>
      </w:r>
      <w:r w:rsidR="006716AB" w:rsidRPr="001F5812">
        <w:rPr>
          <w:rFonts w:asciiTheme="minorHAnsi" w:hAnsiTheme="minorHAnsi" w:cstheme="minorHAnsi"/>
          <w:b/>
          <w:i w:val="0"/>
          <w:color w:val="auto"/>
          <w:szCs w:val="24"/>
        </w:rPr>
        <w:t>“Additional Payment Arrang</w:t>
      </w:r>
      <w:r w:rsidR="00E60701" w:rsidRPr="001F5812">
        <w:rPr>
          <w:rFonts w:asciiTheme="minorHAnsi" w:hAnsiTheme="minorHAnsi" w:cstheme="minorHAnsi"/>
          <w:b/>
          <w:i w:val="0"/>
          <w:color w:val="auto"/>
          <w:szCs w:val="24"/>
        </w:rPr>
        <w:t>e</w:t>
      </w:r>
      <w:r w:rsidR="006716AB" w:rsidRPr="001F5812">
        <w:rPr>
          <w:rFonts w:asciiTheme="minorHAnsi" w:hAnsiTheme="minorHAnsi" w:cstheme="minorHAnsi"/>
          <w:b/>
          <w:i w:val="0"/>
          <w:color w:val="auto"/>
          <w:szCs w:val="24"/>
        </w:rPr>
        <w:t>ments” Section</w:t>
      </w:r>
      <w:r w:rsidR="002F1306" w:rsidRPr="001F5812">
        <w:rPr>
          <w:rFonts w:asciiTheme="minorHAnsi" w:hAnsiTheme="minorHAnsi" w:cstheme="minorHAnsi"/>
          <w:b/>
          <w:i w:val="0"/>
          <w:color w:val="auto"/>
          <w:szCs w:val="24"/>
        </w:rPr>
        <w:t xml:space="preserve"> and the “Appendix C: Participant Services” Section</w:t>
      </w:r>
      <w:r w:rsidR="006716AB" w:rsidRPr="001F5812">
        <w:rPr>
          <w:rFonts w:asciiTheme="minorHAnsi" w:hAnsiTheme="minorHAnsi" w:cstheme="minorHAnsi"/>
          <w:b/>
          <w:i w:val="0"/>
          <w:color w:val="auto"/>
          <w:szCs w:val="24"/>
        </w:rPr>
        <w:t xml:space="preserve">: </w:t>
      </w:r>
      <w:r w:rsidR="0088541E" w:rsidRPr="001F5812">
        <w:rPr>
          <w:rFonts w:asciiTheme="minorHAnsi" w:hAnsiTheme="minorHAnsi" w:cstheme="minorHAnsi"/>
          <w:b/>
          <w:i w:val="0"/>
          <w:color w:val="auto"/>
          <w:szCs w:val="24"/>
        </w:rPr>
        <w:t>The Board recommends</w:t>
      </w:r>
      <w:r w:rsidR="00384F67" w:rsidRPr="001F5812">
        <w:rPr>
          <w:rFonts w:asciiTheme="minorHAnsi" w:hAnsiTheme="minorHAnsi" w:cstheme="minorHAnsi"/>
          <w:b/>
          <w:i w:val="0"/>
          <w:color w:val="auto"/>
          <w:szCs w:val="24"/>
        </w:rPr>
        <w:t xml:space="preserve"> adding a requirement that structural modifications be inspected after completion for compliance with all state and federal building codes.</w:t>
      </w:r>
      <w:r w:rsidR="0088541E" w:rsidRPr="001F5812">
        <w:rPr>
          <w:rFonts w:asciiTheme="minorHAnsi" w:hAnsiTheme="minorHAnsi" w:cstheme="minorHAnsi"/>
          <w:i w:val="0"/>
          <w:color w:val="auto"/>
          <w:szCs w:val="24"/>
        </w:rPr>
        <w:t xml:space="preserve"> </w:t>
      </w:r>
      <w:r w:rsidR="00D801A2" w:rsidRPr="001F5812">
        <w:rPr>
          <w:rFonts w:asciiTheme="minorHAnsi" w:hAnsiTheme="minorHAnsi" w:cstheme="minorHAnsi"/>
          <w:i w:val="0"/>
          <w:color w:val="auto"/>
          <w:szCs w:val="24"/>
        </w:rPr>
        <w:t>DMAS states that a rehabilitation engineer/CRS may be required if</w:t>
      </w:r>
      <w:r w:rsidR="00E3058B" w:rsidRPr="001F5812">
        <w:rPr>
          <w:rFonts w:asciiTheme="minorHAnsi" w:hAnsiTheme="minorHAnsi" w:cstheme="minorHAnsi"/>
          <w:i w:val="0"/>
          <w:color w:val="auto"/>
          <w:szCs w:val="24"/>
        </w:rPr>
        <w:t>,</w:t>
      </w:r>
      <w:r w:rsidR="00D801A2" w:rsidRPr="001F5812">
        <w:rPr>
          <w:rFonts w:asciiTheme="minorHAnsi" w:hAnsiTheme="minorHAnsi" w:cstheme="minorHAnsi"/>
          <w:i w:val="0"/>
          <w:color w:val="auto"/>
          <w:szCs w:val="24"/>
        </w:rPr>
        <w:t xml:space="preserve"> for example:</w:t>
      </w:r>
      <w:r w:rsidR="007C7817" w:rsidRPr="001F5812">
        <w:rPr>
          <w:rFonts w:asciiTheme="minorHAnsi" w:hAnsiTheme="minorHAnsi" w:cstheme="minorHAnsi"/>
          <w:i w:val="0"/>
          <w:color w:val="auto"/>
          <w:szCs w:val="24"/>
        </w:rPr>
        <w:t xml:space="preserve"> </w:t>
      </w:r>
      <w:r w:rsidR="00D801A2" w:rsidRPr="001F5812">
        <w:rPr>
          <w:rFonts w:asciiTheme="minorHAnsi" w:hAnsiTheme="minorHAnsi" w:cstheme="minorHAnsi"/>
          <w:i w:val="0"/>
          <w:color w:val="auto"/>
          <w:szCs w:val="24"/>
        </w:rPr>
        <w:t>“</w:t>
      </w:r>
      <w:r w:rsidR="00D801A2" w:rsidRPr="001F5812">
        <w:rPr>
          <w:rFonts w:asciiTheme="minorHAnsi" w:hAnsiTheme="minorHAnsi" w:cstheme="minorHAnsi"/>
          <w:i w:val="0"/>
          <w:iCs/>
          <w:color w:val="auto"/>
          <w:szCs w:val="24"/>
        </w:rPr>
        <w:t>The environmental modification involves combinations of systems which are not designed to go together. The structural modification requires a project manager to assure that the design and functionality meet ADA accessibility guidelines. Where structural modifications of the primary residence are requested to ensure the residence is structurally sound for the modifications.”</w:t>
      </w:r>
      <w:r w:rsidR="007C7817" w:rsidRPr="001F5812">
        <w:rPr>
          <w:rFonts w:asciiTheme="minorHAnsi" w:hAnsiTheme="minorHAnsi" w:cstheme="minorHAnsi"/>
          <w:i w:val="0"/>
          <w:iCs/>
          <w:color w:val="auto"/>
          <w:szCs w:val="24"/>
        </w:rPr>
        <w:t xml:space="preserve"> </w:t>
      </w:r>
      <w:r w:rsidR="00D801A2" w:rsidRPr="001F5812">
        <w:rPr>
          <w:rFonts w:asciiTheme="minorHAnsi" w:hAnsiTheme="minorHAnsi" w:cstheme="minorHAnsi"/>
          <w:i w:val="0"/>
          <w:iCs/>
          <w:color w:val="auto"/>
          <w:szCs w:val="24"/>
        </w:rPr>
        <w:t>However, there does not appear to be any requirement that the structural modification be inspected after it is complete to be sure it meets all state and federal building codes.</w:t>
      </w:r>
      <w:r w:rsidR="007C7817" w:rsidRPr="001F5812">
        <w:rPr>
          <w:rFonts w:asciiTheme="minorHAnsi" w:hAnsiTheme="minorHAnsi" w:cstheme="minorHAnsi"/>
          <w:i w:val="0"/>
          <w:iCs/>
          <w:color w:val="auto"/>
          <w:szCs w:val="24"/>
        </w:rPr>
        <w:t xml:space="preserve"> </w:t>
      </w:r>
      <w:r w:rsidR="00D801A2" w:rsidRPr="001F5812">
        <w:rPr>
          <w:rFonts w:asciiTheme="minorHAnsi" w:hAnsiTheme="minorHAnsi" w:cstheme="minorHAnsi"/>
          <w:i w:val="0"/>
          <w:iCs/>
          <w:color w:val="auto"/>
          <w:szCs w:val="24"/>
        </w:rPr>
        <w:t>This may be an automatic part of the process but the Board recommends including a provision herein.</w:t>
      </w:r>
      <w:r w:rsidR="007C7817" w:rsidRPr="001F5812">
        <w:rPr>
          <w:rFonts w:asciiTheme="minorHAnsi" w:hAnsiTheme="minorHAnsi" w:cstheme="minorHAnsi"/>
          <w:i w:val="0"/>
          <w:iCs/>
          <w:color w:val="auto"/>
          <w:szCs w:val="24"/>
        </w:rPr>
        <w:t xml:space="preserve"> </w:t>
      </w:r>
      <w:r w:rsidR="00D801A2" w:rsidRPr="001F5812">
        <w:rPr>
          <w:rFonts w:asciiTheme="minorHAnsi" w:hAnsiTheme="minorHAnsi" w:cstheme="minorHAnsi"/>
          <w:i w:val="0"/>
          <w:iCs/>
          <w:color w:val="auto"/>
          <w:szCs w:val="24"/>
        </w:rPr>
        <w:t>At present, it is simply noted that a meeting take</w:t>
      </w:r>
      <w:r w:rsidR="00297D41" w:rsidRPr="001F5812">
        <w:rPr>
          <w:rFonts w:asciiTheme="minorHAnsi" w:hAnsiTheme="minorHAnsi" w:cstheme="minorHAnsi"/>
          <w:i w:val="0"/>
          <w:iCs/>
          <w:color w:val="auto"/>
          <w:szCs w:val="24"/>
        </w:rPr>
        <w:t>s</w:t>
      </w:r>
      <w:r w:rsidR="00D801A2" w:rsidRPr="001F5812">
        <w:rPr>
          <w:rFonts w:asciiTheme="minorHAnsi" w:hAnsiTheme="minorHAnsi" w:cstheme="minorHAnsi"/>
          <w:i w:val="0"/>
          <w:iCs/>
          <w:color w:val="auto"/>
          <w:szCs w:val="24"/>
        </w:rPr>
        <w:t xml:space="preserve"> place with the individual to ensure they are satisfied with the modification.</w:t>
      </w:r>
    </w:p>
    <w:p w14:paraId="0446E80E" w14:textId="20BFE102" w:rsidR="007277DC" w:rsidRPr="00B73D8E" w:rsidRDefault="00C932A5" w:rsidP="00B56862">
      <w:pPr>
        <w:spacing w:after="240" w:line="240" w:lineRule="auto"/>
        <w:rPr>
          <w:rFonts w:asciiTheme="minorHAnsi" w:hAnsiTheme="minorHAnsi" w:cstheme="minorHAnsi"/>
          <w:i w:val="0"/>
          <w:color w:val="auto"/>
          <w:szCs w:val="24"/>
        </w:rPr>
      </w:pPr>
      <w:r w:rsidRPr="001F5812">
        <w:rPr>
          <w:rFonts w:asciiTheme="minorHAnsi" w:hAnsiTheme="minorHAnsi" w:cstheme="minorHAnsi"/>
          <w:i w:val="0"/>
          <w:color w:val="auto"/>
          <w:szCs w:val="24"/>
        </w:rPr>
        <w:t xml:space="preserve">The </w:t>
      </w:r>
      <w:r w:rsidR="00F67A59" w:rsidRPr="001F5812">
        <w:rPr>
          <w:rFonts w:asciiTheme="minorHAnsi" w:hAnsiTheme="minorHAnsi" w:cstheme="minorHAnsi"/>
          <w:i w:val="0"/>
          <w:color w:val="auto"/>
          <w:szCs w:val="24"/>
        </w:rPr>
        <w:t>Board looks forwarded to continuing to work with DMAS, DBHDS</w:t>
      </w:r>
      <w:r w:rsidR="007B7994" w:rsidRPr="001F5812">
        <w:rPr>
          <w:rFonts w:asciiTheme="minorHAnsi" w:hAnsiTheme="minorHAnsi" w:cstheme="minorHAnsi"/>
          <w:i w:val="0"/>
          <w:color w:val="auto"/>
          <w:szCs w:val="24"/>
        </w:rPr>
        <w:t>,</w:t>
      </w:r>
      <w:r w:rsidR="00F67A59" w:rsidRPr="001F5812">
        <w:rPr>
          <w:rFonts w:asciiTheme="minorHAnsi" w:hAnsiTheme="minorHAnsi" w:cstheme="minorHAnsi"/>
          <w:i w:val="0"/>
          <w:color w:val="auto"/>
          <w:szCs w:val="24"/>
        </w:rPr>
        <w:t xml:space="preserve"> and other stakeholders as redesign implementation continues. Thank you for the opportunity to provide input.</w:t>
      </w:r>
    </w:p>
    <w:p w14:paraId="385E53DB" w14:textId="20201FF0" w:rsidR="004A395B" w:rsidRPr="00B73D8E" w:rsidRDefault="004A395B" w:rsidP="00B56862">
      <w:pPr>
        <w:tabs>
          <w:tab w:val="left" w:pos="720"/>
          <w:tab w:val="left" w:pos="1080"/>
        </w:tabs>
        <w:spacing w:after="0" w:line="240" w:lineRule="auto"/>
        <w:rPr>
          <w:rFonts w:asciiTheme="minorHAnsi" w:hAnsiTheme="minorHAnsi" w:cstheme="minorHAnsi"/>
          <w:i w:val="0"/>
          <w:color w:val="auto"/>
          <w:szCs w:val="24"/>
          <w:lang w:bidi="ar-SA"/>
        </w:rPr>
      </w:pPr>
    </w:p>
    <w:sectPr w:rsidR="004A395B" w:rsidRPr="00B73D8E" w:rsidSect="0025648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BFCB72" w14:textId="77777777" w:rsidR="00756DE1" w:rsidRDefault="00756DE1" w:rsidP="0020776D">
      <w:pPr>
        <w:spacing w:after="0" w:line="240" w:lineRule="auto"/>
      </w:pPr>
      <w:r>
        <w:separator/>
      </w:r>
    </w:p>
  </w:endnote>
  <w:endnote w:type="continuationSeparator" w:id="0">
    <w:p w14:paraId="7E0AA125" w14:textId="77777777" w:rsidR="00756DE1" w:rsidRDefault="00756DE1" w:rsidP="00207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opperplate Gothic Light">
    <w:panose1 w:val="020E0507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EC54E" w14:textId="77777777" w:rsidR="00714574" w:rsidRPr="009E4631" w:rsidRDefault="00714574" w:rsidP="002D6550">
    <w:pPr>
      <w:pStyle w:val="Commonwealth"/>
      <w:jc w:val="center"/>
    </w:pPr>
    <w:r>
      <w:rPr>
        <w:rFonts w:ascii="Minion Pro" w:hAnsi="Minion Pro"/>
        <w:i/>
      </w:rPr>
      <w:t>Virginia’s Developmental Disabilities Council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01BCF" w14:textId="14CF4884" w:rsidR="00256485" w:rsidRDefault="00256485" w:rsidP="006D2A35">
    <w:pPr>
      <w:pStyle w:val="Footer"/>
      <w:jc w:val="center"/>
    </w:pPr>
    <w:r>
      <w:t>Virginia’s Developmental Disabilities Council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B3D2CC" w14:textId="77777777" w:rsidR="00756DE1" w:rsidRDefault="00756DE1" w:rsidP="0020776D">
      <w:pPr>
        <w:spacing w:after="0" w:line="240" w:lineRule="auto"/>
      </w:pPr>
      <w:r>
        <w:separator/>
      </w:r>
    </w:p>
  </w:footnote>
  <w:footnote w:type="continuationSeparator" w:id="0">
    <w:p w14:paraId="60DC8AEA" w14:textId="77777777" w:rsidR="00756DE1" w:rsidRDefault="00756DE1" w:rsidP="002077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02BA8" w14:textId="6B7FBEAB" w:rsidR="00714574" w:rsidRPr="00B73D8E" w:rsidRDefault="00714574" w:rsidP="00CA731D">
    <w:pPr>
      <w:pStyle w:val="Header"/>
      <w:rPr>
        <w:rFonts w:asciiTheme="minorHAnsi" w:hAnsiTheme="minorHAnsi"/>
        <w:i w:val="0"/>
        <w:color w:val="auto"/>
        <w:sz w:val="20"/>
        <w:szCs w:val="20"/>
      </w:rPr>
    </w:pPr>
    <w:r w:rsidRPr="00B73D8E">
      <w:rPr>
        <w:rFonts w:asciiTheme="minorHAnsi" w:hAnsiTheme="minorHAnsi"/>
        <w:i w:val="0"/>
        <w:color w:val="auto"/>
        <w:sz w:val="20"/>
        <w:szCs w:val="20"/>
      </w:rPr>
      <w:t xml:space="preserve">VBPD </w:t>
    </w:r>
    <w:r>
      <w:rPr>
        <w:rFonts w:asciiTheme="minorHAnsi" w:hAnsiTheme="minorHAnsi"/>
        <w:i w:val="0"/>
        <w:color w:val="auto"/>
        <w:sz w:val="20"/>
        <w:szCs w:val="20"/>
      </w:rPr>
      <w:t xml:space="preserve">March 2019 </w:t>
    </w:r>
    <w:r w:rsidRPr="00B73D8E">
      <w:rPr>
        <w:rFonts w:asciiTheme="minorHAnsi" w:hAnsiTheme="minorHAnsi"/>
        <w:i w:val="0"/>
        <w:color w:val="auto"/>
        <w:sz w:val="20"/>
        <w:szCs w:val="20"/>
      </w:rPr>
      <w:t>Public Comment on CL Waiver Renewal Application</w:t>
    </w:r>
    <w:r w:rsidR="002D6550">
      <w:rPr>
        <w:rFonts w:asciiTheme="minorHAnsi" w:hAnsiTheme="minorHAnsi"/>
        <w:i w:val="0"/>
        <w:color w:val="auto"/>
        <w:sz w:val="20"/>
        <w:szCs w:val="20"/>
      </w:rPr>
      <w:br/>
      <w:t xml:space="preserve">Page </w:t>
    </w:r>
    <w:r w:rsidR="002D6550" w:rsidRPr="002D6550">
      <w:rPr>
        <w:rFonts w:asciiTheme="minorHAnsi" w:hAnsiTheme="minorHAnsi"/>
        <w:i w:val="0"/>
        <w:color w:val="auto"/>
        <w:sz w:val="20"/>
        <w:szCs w:val="20"/>
      </w:rPr>
      <w:fldChar w:fldCharType="begin"/>
    </w:r>
    <w:r w:rsidR="002D6550" w:rsidRPr="002D6550">
      <w:rPr>
        <w:rFonts w:asciiTheme="minorHAnsi" w:hAnsiTheme="minorHAnsi"/>
        <w:i w:val="0"/>
        <w:color w:val="auto"/>
        <w:sz w:val="20"/>
        <w:szCs w:val="20"/>
      </w:rPr>
      <w:instrText xml:space="preserve"> PAGE   \* MERGEFORMAT </w:instrText>
    </w:r>
    <w:r w:rsidR="002D6550" w:rsidRPr="002D6550">
      <w:rPr>
        <w:rFonts w:asciiTheme="minorHAnsi" w:hAnsiTheme="minorHAnsi"/>
        <w:i w:val="0"/>
        <w:color w:val="auto"/>
        <w:sz w:val="20"/>
        <w:szCs w:val="20"/>
      </w:rPr>
      <w:fldChar w:fldCharType="separate"/>
    </w:r>
    <w:r w:rsidR="00C35DE9">
      <w:rPr>
        <w:rFonts w:asciiTheme="minorHAnsi" w:hAnsiTheme="minorHAnsi"/>
        <w:i w:val="0"/>
        <w:noProof/>
        <w:color w:val="auto"/>
        <w:sz w:val="20"/>
        <w:szCs w:val="20"/>
      </w:rPr>
      <w:t>15</w:t>
    </w:r>
    <w:r w:rsidR="002D6550" w:rsidRPr="002D6550">
      <w:rPr>
        <w:rFonts w:asciiTheme="minorHAnsi" w:hAnsiTheme="minorHAnsi"/>
        <w:i w:val="0"/>
        <w:noProof/>
        <w:color w:val="auto"/>
        <w:sz w:val="20"/>
        <w:szCs w:val="20"/>
      </w:rPr>
      <w:fldChar w:fldCharType="end"/>
    </w:r>
    <w:r w:rsidR="002D6550">
      <w:rPr>
        <w:rFonts w:asciiTheme="minorHAnsi" w:hAnsiTheme="minorHAnsi"/>
        <w:i w:val="0"/>
        <w:noProof/>
        <w:color w:val="auto"/>
        <w:sz w:val="20"/>
        <w:szCs w:val="20"/>
      </w:rPr>
      <w:t xml:space="preserve"> of 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A51A2" w14:textId="7B81C936" w:rsidR="000C5CC4" w:rsidRDefault="000C5CC4" w:rsidP="000C5CC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47F3D"/>
    <w:multiLevelType w:val="hybridMultilevel"/>
    <w:tmpl w:val="256C1C7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F12F1A"/>
    <w:multiLevelType w:val="hybridMultilevel"/>
    <w:tmpl w:val="82824BBC"/>
    <w:lvl w:ilvl="0" w:tplc="CD70EB9A">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32A2D"/>
    <w:multiLevelType w:val="hybridMultilevel"/>
    <w:tmpl w:val="774C0E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7D0AE0"/>
    <w:multiLevelType w:val="hybridMultilevel"/>
    <w:tmpl w:val="6072872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8007D1"/>
    <w:multiLevelType w:val="hybridMultilevel"/>
    <w:tmpl w:val="84483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583874"/>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12C718E2"/>
    <w:multiLevelType w:val="hybridMultilevel"/>
    <w:tmpl w:val="A276F0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50658F"/>
    <w:multiLevelType w:val="hybridMultilevel"/>
    <w:tmpl w:val="3B0ED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A50062"/>
    <w:multiLevelType w:val="hybridMultilevel"/>
    <w:tmpl w:val="E254400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8D2E4F"/>
    <w:multiLevelType w:val="hybridMultilevel"/>
    <w:tmpl w:val="A94C4F5A"/>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1F4D72C3"/>
    <w:multiLevelType w:val="hybridMultilevel"/>
    <w:tmpl w:val="EE6C3364"/>
    <w:lvl w:ilvl="0" w:tplc="87368A96">
      <w:start w:val="8"/>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DC6CE4"/>
    <w:multiLevelType w:val="hybridMultilevel"/>
    <w:tmpl w:val="0602BE40"/>
    <w:lvl w:ilvl="0" w:tplc="58CABE5E">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87B2442"/>
    <w:multiLevelType w:val="hybridMultilevel"/>
    <w:tmpl w:val="3B0ED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6855A6"/>
    <w:multiLevelType w:val="hybridMultilevel"/>
    <w:tmpl w:val="25FA2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A73C9B"/>
    <w:multiLevelType w:val="hybridMultilevel"/>
    <w:tmpl w:val="8B081D3E"/>
    <w:lvl w:ilvl="0" w:tplc="17E28EB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336373"/>
    <w:multiLevelType w:val="hybridMultilevel"/>
    <w:tmpl w:val="3B0ED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134082"/>
    <w:multiLevelType w:val="hybridMultilevel"/>
    <w:tmpl w:val="1682F11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C257BFD"/>
    <w:multiLevelType w:val="hybridMultilevel"/>
    <w:tmpl w:val="F3CA11EE"/>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4DB02B94"/>
    <w:multiLevelType w:val="hybridMultilevel"/>
    <w:tmpl w:val="865AC79A"/>
    <w:lvl w:ilvl="0" w:tplc="166EF950">
      <w:start w:val="24"/>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A82929"/>
    <w:multiLevelType w:val="hybridMultilevel"/>
    <w:tmpl w:val="9E9072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6FA2825"/>
    <w:multiLevelType w:val="hybridMultilevel"/>
    <w:tmpl w:val="FB52DD4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83B2356"/>
    <w:multiLevelType w:val="hybridMultilevel"/>
    <w:tmpl w:val="A0C63C2E"/>
    <w:lvl w:ilvl="0" w:tplc="48066C0E">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9F602F"/>
    <w:multiLevelType w:val="hybridMultilevel"/>
    <w:tmpl w:val="0ABC4E54"/>
    <w:lvl w:ilvl="0" w:tplc="42C86F60">
      <w:start w:val="1"/>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CCA7CB0"/>
    <w:multiLevelType w:val="hybridMultilevel"/>
    <w:tmpl w:val="3588EB5A"/>
    <w:lvl w:ilvl="0" w:tplc="C4AEEFE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930A3C"/>
    <w:multiLevelType w:val="hybridMultilevel"/>
    <w:tmpl w:val="A34ADD8E"/>
    <w:lvl w:ilvl="0" w:tplc="6DCA58E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F323FC"/>
    <w:multiLevelType w:val="hybridMultilevel"/>
    <w:tmpl w:val="86F850DA"/>
    <w:lvl w:ilvl="0" w:tplc="4E5A6CF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6E77A7"/>
    <w:multiLevelType w:val="hybridMultilevel"/>
    <w:tmpl w:val="02027AAC"/>
    <w:lvl w:ilvl="0" w:tplc="6DCA58E6">
      <w:start w:val="2"/>
      <w:numFmt w:val="decimal"/>
      <w:lvlText w:val="%1."/>
      <w:lvlJc w:val="left"/>
      <w:pPr>
        <w:ind w:left="36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A46A2F"/>
    <w:multiLevelType w:val="hybridMultilevel"/>
    <w:tmpl w:val="C11CC880"/>
    <w:lvl w:ilvl="0" w:tplc="A69E9A8E">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12F6EA1"/>
    <w:multiLevelType w:val="hybridMultilevel"/>
    <w:tmpl w:val="C024D2B8"/>
    <w:lvl w:ilvl="0" w:tplc="94064D9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27B6CA"/>
    <w:multiLevelType w:val="hybridMultilevel"/>
    <w:tmpl w:val="DBE060F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17"/>
  </w:num>
  <w:num w:numId="3">
    <w:abstractNumId w:val="21"/>
  </w:num>
  <w:num w:numId="4">
    <w:abstractNumId w:val="7"/>
  </w:num>
  <w:num w:numId="5">
    <w:abstractNumId w:val="12"/>
  </w:num>
  <w:num w:numId="6">
    <w:abstractNumId w:val="15"/>
  </w:num>
  <w:num w:numId="7">
    <w:abstractNumId w:val="4"/>
  </w:num>
  <w:num w:numId="8">
    <w:abstractNumId w:val="11"/>
  </w:num>
  <w:num w:numId="9">
    <w:abstractNumId w:val="19"/>
  </w:num>
  <w:num w:numId="10">
    <w:abstractNumId w:val="8"/>
  </w:num>
  <w:num w:numId="11">
    <w:abstractNumId w:val="13"/>
  </w:num>
  <w:num w:numId="12">
    <w:abstractNumId w:val="6"/>
  </w:num>
  <w:num w:numId="13">
    <w:abstractNumId w:val="2"/>
  </w:num>
  <w:num w:numId="14">
    <w:abstractNumId w:val="26"/>
  </w:num>
  <w:num w:numId="15">
    <w:abstractNumId w:val="3"/>
  </w:num>
  <w:num w:numId="16">
    <w:abstractNumId w:val="14"/>
  </w:num>
  <w:num w:numId="17">
    <w:abstractNumId w:val="1"/>
  </w:num>
  <w:num w:numId="18">
    <w:abstractNumId w:val="10"/>
  </w:num>
  <w:num w:numId="19">
    <w:abstractNumId w:val="28"/>
  </w:num>
  <w:num w:numId="20">
    <w:abstractNumId w:val="25"/>
  </w:num>
  <w:num w:numId="21">
    <w:abstractNumId w:val="9"/>
  </w:num>
  <w:num w:numId="22">
    <w:abstractNumId w:val="27"/>
  </w:num>
  <w:num w:numId="23">
    <w:abstractNumId w:val="0"/>
  </w:num>
  <w:num w:numId="24">
    <w:abstractNumId w:val="29"/>
  </w:num>
  <w:num w:numId="25">
    <w:abstractNumId w:val="24"/>
  </w:num>
  <w:num w:numId="26">
    <w:abstractNumId w:val="20"/>
  </w:num>
  <w:num w:numId="27">
    <w:abstractNumId w:val="16"/>
  </w:num>
  <w:num w:numId="28">
    <w:abstractNumId w:val="22"/>
  </w:num>
  <w:num w:numId="29">
    <w:abstractNumId w:val="23"/>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925"/>
    <w:rsid w:val="00000A2A"/>
    <w:rsid w:val="00000D62"/>
    <w:rsid w:val="00001DAF"/>
    <w:rsid w:val="000045D7"/>
    <w:rsid w:val="000046EE"/>
    <w:rsid w:val="000070EC"/>
    <w:rsid w:val="000114EE"/>
    <w:rsid w:val="00012516"/>
    <w:rsid w:val="00013149"/>
    <w:rsid w:val="00013D12"/>
    <w:rsid w:val="00015976"/>
    <w:rsid w:val="00015E25"/>
    <w:rsid w:val="0002188D"/>
    <w:rsid w:val="00025FA8"/>
    <w:rsid w:val="00031269"/>
    <w:rsid w:val="000323AF"/>
    <w:rsid w:val="00043F25"/>
    <w:rsid w:val="0004729D"/>
    <w:rsid w:val="000540B1"/>
    <w:rsid w:val="000605D6"/>
    <w:rsid w:val="000634C2"/>
    <w:rsid w:val="00065837"/>
    <w:rsid w:val="00073082"/>
    <w:rsid w:val="0007490E"/>
    <w:rsid w:val="00083175"/>
    <w:rsid w:val="00084CAF"/>
    <w:rsid w:val="000851D8"/>
    <w:rsid w:val="0008558D"/>
    <w:rsid w:val="00090A06"/>
    <w:rsid w:val="00091135"/>
    <w:rsid w:val="00091492"/>
    <w:rsid w:val="00092B67"/>
    <w:rsid w:val="000956FF"/>
    <w:rsid w:val="00095D3B"/>
    <w:rsid w:val="00097139"/>
    <w:rsid w:val="000A004C"/>
    <w:rsid w:val="000A1267"/>
    <w:rsid w:val="000A1568"/>
    <w:rsid w:val="000A5096"/>
    <w:rsid w:val="000A6D11"/>
    <w:rsid w:val="000B0FA4"/>
    <w:rsid w:val="000B5E9E"/>
    <w:rsid w:val="000C5CC4"/>
    <w:rsid w:val="000E3AF3"/>
    <w:rsid w:val="000E3D93"/>
    <w:rsid w:val="000E432B"/>
    <w:rsid w:val="000E4BDD"/>
    <w:rsid w:val="000E59E3"/>
    <w:rsid w:val="000E69D7"/>
    <w:rsid w:val="000F398E"/>
    <w:rsid w:val="000F4B9F"/>
    <w:rsid w:val="000F6288"/>
    <w:rsid w:val="000F6A29"/>
    <w:rsid w:val="001016F4"/>
    <w:rsid w:val="00106431"/>
    <w:rsid w:val="001120C7"/>
    <w:rsid w:val="00115AE1"/>
    <w:rsid w:val="00116E08"/>
    <w:rsid w:val="00117731"/>
    <w:rsid w:val="00120574"/>
    <w:rsid w:val="001230DF"/>
    <w:rsid w:val="001244AE"/>
    <w:rsid w:val="001245A5"/>
    <w:rsid w:val="001251FB"/>
    <w:rsid w:val="00125A87"/>
    <w:rsid w:val="00130597"/>
    <w:rsid w:val="00136F80"/>
    <w:rsid w:val="001445FD"/>
    <w:rsid w:val="00144BC0"/>
    <w:rsid w:val="00144D28"/>
    <w:rsid w:val="00145A0E"/>
    <w:rsid w:val="00153C92"/>
    <w:rsid w:val="00156467"/>
    <w:rsid w:val="00156D4C"/>
    <w:rsid w:val="00173D37"/>
    <w:rsid w:val="001747C1"/>
    <w:rsid w:val="0017540D"/>
    <w:rsid w:val="00180EB4"/>
    <w:rsid w:val="00182D09"/>
    <w:rsid w:val="001907FA"/>
    <w:rsid w:val="00194827"/>
    <w:rsid w:val="0019605D"/>
    <w:rsid w:val="00196C8A"/>
    <w:rsid w:val="001976E3"/>
    <w:rsid w:val="001A4720"/>
    <w:rsid w:val="001A61F3"/>
    <w:rsid w:val="001A7E34"/>
    <w:rsid w:val="001B3C48"/>
    <w:rsid w:val="001B6F2F"/>
    <w:rsid w:val="001C2B12"/>
    <w:rsid w:val="001C2C81"/>
    <w:rsid w:val="001C2E8A"/>
    <w:rsid w:val="001C472E"/>
    <w:rsid w:val="001C7C56"/>
    <w:rsid w:val="001D17EC"/>
    <w:rsid w:val="001D1830"/>
    <w:rsid w:val="001D353B"/>
    <w:rsid w:val="001D3759"/>
    <w:rsid w:val="001E1CDC"/>
    <w:rsid w:val="001E6546"/>
    <w:rsid w:val="001E7DF3"/>
    <w:rsid w:val="001F07A2"/>
    <w:rsid w:val="001F341A"/>
    <w:rsid w:val="001F5812"/>
    <w:rsid w:val="001F78B0"/>
    <w:rsid w:val="0020776D"/>
    <w:rsid w:val="00211E4B"/>
    <w:rsid w:val="002120E6"/>
    <w:rsid w:val="00212CF9"/>
    <w:rsid w:val="0021353B"/>
    <w:rsid w:val="00221173"/>
    <w:rsid w:val="002220D8"/>
    <w:rsid w:val="002247DD"/>
    <w:rsid w:val="002322A5"/>
    <w:rsid w:val="00236084"/>
    <w:rsid w:val="00244415"/>
    <w:rsid w:val="00250382"/>
    <w:rsid w:val="002535CB"/>
    <w:rsid w:val="00254FDD"/>
    <w:rsid w:val="00256485"/>
    <w:rsid w:val="00256B03"/>
    <w:rsid w:val="00256C33"/>
    <w:rsid w:val="00264054"/>
    <w:rsid w:val="00264D33"/>
    <w:rsid w:val="0026767B"/>
    <w:rsid w:val="002737A4"/>
    <w:rsid w:val="00280C7B"/>
    <w:rsid w:val="00283728"/>
    <w:rsid w:val="00284B0C"/>
    <w:rsid w:val="00287E8D"/>
    <w:rsid w:val="00293DDE"/>
    <w:rsid w:val="00297D41"/>
    <w:rsid w:val="002A0A83"/>
    <w:rsid w:val="002A485D"/>
    <w:rsid w:val="002A5081"/>
    <w:rsid w:val="002B3388"/>
    <w:rsid w:val="002B77D9"/>
    <w:rsid w:val="002B7BF3"/>
    <w:rsid w:val="002C0FE1"/>
    <w:rsid w:val="002C30D0"/>
    <w:rsid w:val="002C3522"/>
    <w:rsid w:val="002D14AA"/>
    <w:rsid w:val="002D3093"/>
    <w:rsid w:val="002D4A9F"/>
    <w:rsid w:val="002D6550"/>
    <w:rsid w:val="002E2DCC"/>
    <w:rsid w:val="002E4ED7"/>
    <w:rsid w:val="002E623A"/>
    <w:rsid w:val="002E6E34"/>
    <w:rsid w:val="002E7F87"/>
    <w:rsid w:val="002F1306"/>
    <w:rsid w:val="002F5241"/>
    <w:rsid w:val="002F6967"/>
    <w:rsid w:val="003016FC"/>
    <w:rsid w:val="003018E2"/>
    <w:rsid w:val="00302627"/>
    <w:rsid w:val="0030298A"/>
    <w:rsid w:val="00306267"/>
    <w:rsid w:val="00307A75"/>
    <w:rsid w:val="00310CE8"/>
    <w:rsid w:val="003136D6"/>
    <w:rsid w:val="00314A68"/>
    <w:rsid w:val="003153EC"/>
    <w:rsid w:val="00317970"/>
    <w:rsid w:val="00320BF0"/>
    <w:rsid w:val="00320E72"/>
    <w:rsid w:val="00326A99"/>
    <w:rsid w:val="00331A97"/>
    <w:rsid w:val="0033546C"/>
    <w:rsid w:val="00335527"/>
    <w:rsid w:val="00336202"/>
    <w:rsid w:val="00336590"/>
    <w:rsid w:val="003377F6"/>
    <w:rsid w:val="00343760"/>
    <w:rsid w:val="00345EA5"/>
    <w:rsid w:val="00347EF8"/>
    <w:rsid w:val="0035094A"/>
    <w:rsid w:val="0036466C"/>
    <w:rsid w:val="00365368"/>
    <w:rsid w:val="00371BAB"/>
    <w:rsid w:val="00373C9F"/>
    <w:rsid w:val="0037605F"/>
    <w:rsid w:val="00376E2B"/>
    <w:rsid w:val="00384F67"/>
    <w:rsid w:val="00385CCC"/>
    <w:rsid w:val="0038687C"/>
    <w:rsid w:val="00392E89"/>
    <w:rsid w:val="00393834"/>
    <w:rsid w:val="0039547E"/>
    <w:rsid w:val="00397B23"/>
    <w:rsid w:val="003A07D7"/>
    <w:rsid w:val="003A0956"/>
    <w:rsid w:val="003A70B3"/>
    <w:rsid w:val="003B0119"/>
    <w:rsid w:val="003B2B3A"/>
    <w:rsid w:val="003B301C"/>
    <w:rsid w:val="003B3541"/>
    <w:rsid w:val="003C6FC8"/>
    <w:rsid w:val="003D0973"/>
    <w:rsid w:val="003D5108"/>
    <w:rsid w:val="003E5759"/>
    <w:rsid w:val="003E604F"/>
    <w:rsid w:val="003F1E62"/>
    <w:rsid w:val="003F34B5"/>
    <w:rsid w:val="003F514B"/>
    <w:rsid w:val="003F51B1"/>
    <w:rsid w:val="003F638E"/>
    <w:rsid w:val="003F7B10"/>
    <w:rsid w:val="00400162"/>
    <w:rsid w:val="0040162A"/>
    <w:rsid w:val="00402A87"/>
    <w:rsid w:val="00404E9B"/>
    <w:rsid w:val="004113F7"/>
    <w:rsid w:val="00414D32"/>
    <w:rsid w:val="0041654B"/>
    <w:rsid w:val="0041669C"/>
    <w:rsid w:val="00420342"/>
    <w:rsid w:val="00420EC0"/>
    <w:rsid w:val="004220F5"/>
    <w:rsid w:val="00423537"/>
    <w:rsid w:val="00423ABC"/>
    <w:rsid w:val="004309C7"/>
    <w:rsid w:val="0043124A"/>
    <w:rsid w:val="004324AD"/>
    <w:rsid w:val="0043391A"/>
    <w:rsid w:val="004448EF"/>
    <w:rsid w:val="00446D5F"/>
    <w:rsid w:val="004500B8"/>
    <w:rsid w:val="00452FC7"/>
    <w:rsid w:val="00455810"/>
    <w:rsid w:val="00466E2F"/>
    <w:rsid w:val="004767FA"/>
    <w:rsid w:val="004801FF"/>
    <w:rsid w:val="00481787"/>
    <w:rsid w:val="00490865"/>
    <w:rsid w:val="004A19A5"/>
    <w:rsid w:val="004A1F93"/>
    <w:rsid w:val="004A3781"/>
    <w:rsid w:val="004A395B"/>
    <w:rsid w:val="004A48A7"/>
    <w:rsid w:val="004A4A06"/>
    <w:rsid w:val="004A5C07"/>
    <w:rsid w:val="004A6584"/>
    <w:rsid w:val="004B01F6"/>
    <w:rsid w:val="004B3D94"/>
    <w:rsid w:val="004B522D"/>
    <w:rsid w:val="004B5C71"/>
    <w:rsid w:val="004C1B64"/>
    <w:rsid w:val="004C70CB"/>
    <w:rsid w:val="004E0230"/>
    <w:rsid w:val="004E03DD"/>
    <w:rsid w:val="004E1B3F"/>
    <w:rsid w:val="004E1C02"/>
    <w:rsid w:val="004E1DCD"/>
    <w:rsid w:val="004E580C"/>
    <w:rsid w:val="004F6FF1"/>
    <w:rsid w:val="005006F1"/>
    <w:rsid w:val="005008D1"/>
    <w:rsid w:val="0050171A"/>
    <w:rsid w:val="005030DF"/>
    <w:rsid w:val="00504F89"/>
    <w:rsid w:val="005051B9"/>
    <w:rsid w:val="00507948"/>
    <w:rsid w:val="00510997"/>
    <w:rsid w:val="0051321F"/>
    <w:rsid w:val="00513968"/>
    <w:rsid w:val="0052102F"/>
    <w:rsid w:val="0052318F"/>
    <w:rsid w:val="00525AED"/>
    <w:rsid w:val="00533757"/>
    <w:rsid w:val="00534479"/>
    <w:rsid w:val="005367EF"/>
    <w:rsid w:val="00540789"/>
    <w:rsid w:val="0054444A"/>
    <w:rsid w:val="00551609"/>
    <w:rsid w:val="00555EC0"/>
    <w:rsid w:val="00565A7A"/>
    <w:rsid w:val="00567C3F"/>
    <w:rsid w:val="005703C5"/>
    <w:rsid w:val="00570996"/>
    <w:rsid w:val="00571784"/>
    <w:rsid w:val="00571C91"/>
    <w:rsid w:val="00571D38"/>
    <w:rsid w:val="00572B41"/>
    <w:rsid w:val="00575FF5"/>
    <w:rsid w:val="00576529"/>
    <w:rsid w:val="00577ABD"/>
    <w:rsid w:val="00577B80"/>
    <w:rsid w:val="00580682"/>
    <w:rsid w:val="00580960"/>
    <w:rsid w:val="00580BB3"/>
    <w:rsid w:val="00583F29"/>
    <w:rsid w:val="0058706F"/>
    <w:rsid w:val="00587F29"/>
    <w:rsid w:val="00591276"/>
    <w:rsid w:val="00591315"/>
    <w:rsid w:val="00594F5C"/>
    <w:rsid w:val="00596654"/>
    <w:rsid w:val="005A3933"/>
    <w:rsid w:val="005A4520"/>
    <w:rsid w:val="005A5530"/>
    <w:rsid w:val="005A6B57"/>
    <w:rsid w:val="005B211B"/>
    <w:rsid w:val="005B3D89"/>
    <w:rsid w:val="005B5F5F"/>
    <w:rsid w:val="005D05AC"/>
    <w:rsid w:val="005D71F4"/>
    <w:rsid w:val="005D7803"/>
    <w:rsid w:val="005E6BC4"/>
    <w:rsid w:val="005F1A40"/>
    <w:rsid w:val="00605210"/>
    <w:rsid w:val="00610789"/>
    <w:rsid w:val="006112D8"/>
    <w:rsid w:val="00612D11"/>
    <w:rsid w:val="00614542"/>
    <w:rsid w:val="00614752"/>
    <w:rsid w:val="00615FB6"/>
    <w:rsid w:val="00621458"/>
    <w:rsid w:val="0062162F"/>
    <w:rsid w:val="00622EDE"/>
    <w:rsid w:val="006242E1"/>
    <w:rsid w:val="006247A5"/>
    <w:rsid w:val="00624A3E"/>
    <w:rsid w:val="006256C7"/>
    <w:rsid w:val="00625AE0"/>
    <w:rsid w:val="00627BA7"/>
    <w:rsid w:val="00630418"/>
    <w:rsid w:val="00631300"/>
    <w:rsid w:val="006354A1"/>
    <w:rsid w:val="00635A04"/>
    <w:rsid w:val="006405E6"/>
    <w:rsid w:val="0064223B"/>
    <w:rsid w:val="00645D3C"/>
    <w:rsid w:val="006472F8"/>
    <w:rsid w:val="00650227"/>
    <w:rsid w:val="00650880"/>
    <w:rsid w:val="00655043"/>
    <w:rsid w:val="00655F5C"/>
    <w:rsid w:val="00655FED"/>
    <w:rsid w:val="0065683B"/>
    <w:rsid w:val="0066388A"/>
    <w:rsid w:val="00667E6B"/>
    <w:rsid w:val="00670297"/>
    <w:rsid w:val="006716AB"/>
    <w:rsid w:val="00671DC0"/>
    <w:rsid w:val="006726A7"/>
    <w:rsid w:val="00676EA4"/>
    <w:rsid w:val="00680FBB"/>
    <w:rsid w:val="00681E63"/>
    <w:rsid w:val="006824EA"/>
    <w:rsid w:val="00683995"/>
    <w:rsid w:val="00696896"/>
    <w:rsid w:val="006A0E91"/>
    <w:rsid w:val="006A146B"/>
    <w:rsid w:val="006A5D1A"/>
    <w:rsid w:val="006A7FF2"/>
    <w:rsid w:val="006B10DD"/>
    <w:rsid w:val="006C1168"/>
    <w:rsid w:val="006C1CD4"/>
    <w:rsid w:val="006C3E1D"/>
    <w:rsid w:val="006C4E66"/>
    <w:rsid w:val="006C71FB"/>
    <w:rsid w:val="006C792A"/>
    <w:rsid w:val="006D0C7F"/>
    <w:rsid w:val="006D1BEE"/>
    <w:rsid w:val="006D2709"/>
    <w:rsid w:val="006D2A35"/>
    <w:rsid w:val="006E17F2"/>
    <w:rsid w:val="006E2D6F"/>
    <w:rsid w:val="006E6F59"/>
    <w:rsid w:val="006F0DD9"/>
    <w:rsid w:val="006F495C"/>
    <w:rsid w:val="006F54E5"/>
    <w:rsid w:val="00700E08"/>
    <w:rsid w:val="007031AA"/>
    <w:rsid w:val="0070534F"/>
    <w:rsid w:val="0070768A"/>
    <w:rsid w:val="00713052"/>
    <w:rsid w:val="00714574"/>
    <w:rsid w:val="00714F11"/>
    <w:rsid w:val="0072471E"/>
    <w:rsid w:val="00724EF3"/>
    <w:rsid w:val="00725A47"/>
    <w:rsid w:val="00725ECA"/>
    <w:rsid w:val="007277DC"/>
    <w:rsid w:val="00727DB9"/>
    <w:rsid w:val="00740338"/>
    <w:rsid w:val="00741311"/>
    <w:rsid w:val="007427D1"/>
    <w:rsid w:val="00744F68"/>
    <w:rsid w:val="00745F72"/>
    <w:rsid w:val="00746C9A"/>
    <w:rsid w:val="00751023"/>
    <w:rsid w:val="00751C10"/>
    <w:rsid w:val="00756DE1"/>
    <w:rsid w:val="00760454"/>
    <w:rsid w:val="00764B36"/>
    <w:rsid w:val="00771E3B"/>
    <w:rsid w:val="00773041"/>
    <w:rsid w:val="007749E2"/>
    <w:rsid w:val="007825BB"/>
    <w:rsid w:val="007831F0"/>
    <w:rsid w:val="00784C5A"/>
    <w:rsid w:val="00787654"/>
    <w:rsid w:val="00790D05"/>
    <w:rsid w:val="00795AB7"/>
    <w:rsid w:val="007966CB"/>
    <w:rsid w:val="00796E8A"/>
    <w:rsid w:val="007A09E6"/>
    <w:rsid w:val="007A0C33"/>
    <w:rsid w:val="007A1A83"/>
    <w:rsid w:val="007A4DE8"/>
    <w:rsid w:val="007B0411"/>
    <w:rsid w:val="007B1559"/>
    <w:rsid w:val="007B1CB9"/>
    <w:rsid w:val="007B1F7A"/>
    <w:rsid w:val="007B2AF3"/>
    <w:rsid w:val="007B5927"/>
    <w:rsid w:val="007B7994"/>
    <w:rsid w:val="007C0E3B"/>
    <w:rsid w:val="007C1101"/>
    <w:rsid w:val="007C2F44"/>
    <w:rsid w:val="007C593B"/>
    <w:rsid w:val="007C7817"/>
    <w:rsid w:val="007D0DB6"/>
    <w:rsid w:val="007E0237"/>
    <w:rsid w:val="007E037B"/>
    <w:rsid w:val="007E0394"/>
    <w:rsid w:val="007E3BD6"/>
    <w:rsid w:val="007E5E88"/>
    <w:rsid w:val="007F1FD2"/>
    <w:rsid w:val="007F29AA"/>
    <w:rsid w:val="007F6813"/>
    <w:rsid w:val="00805A4F"/>
    <w:rsid w:val="00806DC5"/>
    <w:rsid w:val="0081331F"/>
    <w:rsid w:val="00814330"/>
    <w:rsid w:val="008176E5"/>
    <w:rsid w:val="0082164A"/>
    <w:rsid w:val="00822FED"/>
    <w:rsid w:val="00831580"/>
    <w:rsid w:val="0083207F"/>
    <w:rsid w:val="0083381E"/>
    <w:rsid w:val="00833B30"/>
    <w:rsid w:val="00833DD3"/>
    <w:rsid w:val="008359E8"/>
    <w:rsid w:val="008363BA"/>
    <w:rsid w:val="00840250"/>
    <w:rsid w:val="00842BFC"/>
    <w:rsid w:val="00842F82"/>
    <w:rsid w:val="0085187E"/>
    <w:rsid w:val="00852B04"/>
    <w:rsid w:val="00856992"/>
    <w:rsid w:val="00860721"/>
    <w:rsid w:val="00861B2F"/>
    <w:rsid w:val="00861C0E"/>
    <w:rsid w:val="00862D6A"/>
    <w:rsid w:val="008654E9"/>
    <w:rsid w:val="0087288D"/>
    <w:rsid w:val="00872AE4"/>
    <w:rsid w:val="00875049"/>
    <w:rsid w:val="0087518A"/>
    <w:rsid w:val="00880E1C"/>
    <w:rsid w:val="0088541E"/>
    <w:rsid w:val="00885C73"/>
    <w:rsid w:val="00886E4D"/>
    <w:rsid w:val="00890491"/>
    <w:rsid w:val="00893C7E"/>
    <w:rsid w:val="008955DA"/>
    <w:rsid w:val="008A082D"/>
    <w:rsid w:val="008A2A06"/>
    <w:rsid w:val="008B0778"/>
    <w:rsid w:val="008B6436"/>
    <w:rsid w:val="008B76BA"/>
    <w:rsid w:val="008C0326"/>
    <w:rsid w:val="008D0641"/>
    <w:rsid w:val="008D09F6"/>
    <w:rsid w:val="008D28DB"/>
    <w:rsid w:val="008D4A8B"/>
    <w:rsid w:val="008D5B9E"/>
    <w:rsid w:val="008D5E48"/>
    <w:rsid w:val="008E0362"/>
    <w:rsid w:val="008E20E1"/>
    <w:rsid w:val="008E26C3"/>
    <w:rsid w:val="008E281F"/>
    <w:rsid w:val="008E4744"/>
    <w:rsid w:val="008E5B2F"/>
    <w:rsid w:val="008E6B4D"/>
    <w:rsid w:val="008F5A09"/>
    <w:rsid w:val="008F7B6E"/>
    <w:rsid w:val="00900088"/>
    <w:rsid w:val="00900613"/>
    <w:rsid w:val="009013AE"/>
    <w:rsid w:val="00903586"/>
    <w:rsid w:val="00904FE8"/>
    <w:rsid w:val="00906D59"/>
    <w:rsid w:val="0090700C"/>
    <w:rsid w:val="0090751B"/>
    <w:rsid w:val="00931944"/>
    <w:rsid w:val="00933FB4"/>
    <w:rsid w:val="009366B5"/>
    <w:rsid w:val="0096024F"/>
    <w:rsid w:val="00966FAE"/>
    <w:rsid w:val="00973888"/>
    <w:rsid w:val="00980143"/>
    <w:rsid w:val="009838B8"/>
    <w:rsid w:val="00984A38"/>
    <w:rsid w:val="00984C33"/>
    <w:rsid w:val="00985028"/>
    <w:rsid w:val="0098550F"/>
    <w:rsid w:val="0098574D"/>
    <w:rsid w:val="009859D4"/>
    <w:rsid w:val="00985E81"/>
    <w:rsid w:val="00992FCA"/>
    <w:rsid w:val="00996A78"/>
    <w:rsid w:val="009A1925"/>
    <w:rsid w:val="009A6794"/>
    <w:rsid w:val="009A74FD"/>
    <w:rsid w:val="009A78EF"/>
    <w:rsid w:val="009B287D"/>
    <w:rsid w:val="009C09FD"/>
    <w:rsid w:val="009C15B2"/>
    <w:rsid w:val="009D1A86"/>
    <w:rsid w:val="009D3D34"/>
    <w:rsid w:val="009D3DBF"/>
    <w:rsid w:val="009E295D"/>
    <w:rsid w:val="009E38A6"/>
    <w:rsid w:val="009E4631"/>
    <w:rsid w:val="009E5ADB"/>
    <w:rsid w:val="009F2768"/>
    <w:rsid w:val="009F3B5F"/>
    <w:rsid w:val="00A024D3"/>
    <w:rsid w:val="00A03C3D"/>
    <w:rsid w:val="00A07491"/>
    <w:rsid w:val="00A15F7C"/>
    <w:rsid w:val="00A21734"/>
    <w:rsid w:val="00A23AC7"/>
    <w:rsid w:val="00A30D6F"/>
    <w:rsid w:val="00A36BBD"/>
    <w:rsid w:val="00A40009"/>
    <w:rsid w:val="00A41FCB"/>
    <w:rsid w:val="00A4286A"/>
    <w:rsid w:val="00A43B36"/>
    <w:rsid w:val="00A50EF9"/>
    <w:rsid w:val="00A53153"/>
    <w:rsid w:val="00A54F21"/>
    <w:rsid w:val="00A70E6D"/>
    <w:rsid w:val="00A82BFD"/>
    <w:rsid w:val="00A8303D"/>
    <w:rsid w:val="00A83E7D"/>
    <w:rsid w:val="00A84271"/>
    <w:rsid w:val="00A87597"/>
    <w:rsid w:val="00A90BCE"/>
    <w:rsid w:val="00A91045"/>
    <w:rsid w:val="00A9276E"/>
    <w:rsid w:val="00A93955"/>
    <w:rsid w:val="00AA4261"/>
    <w:rsid w:val="00AA4B3C"/>
    <w:rsid w:val="00AA61E1"/>
    <w:rsid w:val="00AB0D5E"/>
    <w:rsid w:val="00AB3407"/>
    <w:rsid w:val="00AB37E5"/>
    <w:rsid w:val="00AB452E"/>
    <w:rsid w:val="00AC1FF8"/>
    <w:rsid w:val="00AC35CB"/>
    <w:rsid w:val="00AC47A8"/>
    <w:rsid w:val="00AC610B"/>
    <w:rsid w:val="00AC6246"/>
    <w:rsid w:val="00AD12F5"/>
    <w:rsid w:val="00AD7CC5"/>
    <w:rsid w:val="00AE17C0"/>
    <w:rsid w:val="00AE2096"/>
    <w:rsid w:val="00AE3ED5"/>
    <w:rsid w:val="00AE5E85"/>
    <w:rsid w:val="00AE7A43"/>
    <w:rsid w:val="00AF19A3"/>
    <w:rsid w:val="00AF27D8"/>
    <w:rsid w:val="00AF2E34"/>
    <w:rsid w:val="00AF3B01"/>
    <w:rsid w:val="00AF6927"/>
    <w:rsid w:val="00B01067"/>
    <w:rsid w:val="00B01706"/>
    <w:rsid w:val="00B01D25"/>
    <w:rsid w:val="00B05272"/>
    <w:rsid w:val="00B070FC"/>
    <w:rsid w:val="00B12266"/>
    <w:rsid w:val="00B21C9F"/>
    <w:rsid w:val="00B21D0C"/>
    <w:rsid w:val="00B23CCF"/>
    <w:rsid w:val="00B24827"/>
    <w:rsid w:val="00B27D33"/>
    <w:rsid w:val="00B342A2"/>
    <w:rsid w:val="00B34B82"/>
    <w:rsid w:val="00B360B2"/>
    <w:rsid w:val="00B425DA"/>
    <w:rsid w:val="00B4516F"/>
    <w:rsid w:val="00B514C5"/>
    <w:rsid w:val="00B52B4A"/>
    <w:rsid w:val="00B56862"/>
    <w:rsid w:val="00B57821"/>
    <w:rsid w:val="00B64296"/>
    <w:rsid w:val="00B73D8E"/>
    <w:rsid w:val="00B75648"/>
    <w:rsid w:val="00B75942"/>
    <w:rsid w:val="00B80EC4"/>
    <w:rsid w:val="00B85B50"/>
    <w:rsid w:val="00B94988"/>
    <w:rsid w:val="00B96255"/>
    <w:rsid w:val="00B96CC6"/>
    <w:rsid w:val="00B97353"/>
    <w:rsid w:val="00BA07DE"/>
    <w:rsid w:val="00BA1974"/>
    <w:rsid w:val="00BA253A"/>
    <w:rsid w:val="00BA5196"/>
    <w:rsid w:val="00BA6690"/>
    <w:rsid w:val="00BB1A75"/>
    <w:rsid w:val="00BB31CD"/>
    <w:rsid w:val="00BC4724"/>
    <w:rsid w:val="00BC5AD9"/>
    <w:rsid w:val="00BC5D91"/>
    <w:rsid w:val="00BD0F5C"/>
    <w:rsid w:val="00BD5F0D"/>
    <w:rsid w:val="00BE108E"/>
    <w:rsid w:val="00BE2547"/>
    <w:rsid w:val="00BF070C"/>
    <w:rsid w:val="00BF2C61"/>
    <w:rsid w:val="00BF4358"/>
    <w:rsid w:val="00BF4A6C"/>
    <w:rsid w:val="00BF5832"/>
    <w:rsid w:val="00BF785B"/>
    <w:rsid w:val="00C0447C"/>
    <w:rsid w:val="00C06FBF"/>
    <w:rsid w:val="00C13847"/>
    <w:rsid w:val="00C13F96"/>
    <w:rsid w:val="00C160DF"/>
    <w:rsid w:val="00C20196"/>
    <w:rsid w:val="00C24E09"/>
    <w:rsid w:val="00C330BF"/>
    <w:rsid w:val="00C354EF"/>
    <w:rsid w:val="00C35702"/>
    <w:rsid w:val="00C35DE9"/>
    <w:rsid w:val="00C56A78"/>
    <w:rsid w:val="00C618EE"/>
    <w:rsid w:val="00C61D8F"/>
    <w:rsid w:val="00C64E43"/>
    <w:rsid w:val="00C72770"/>
    <w:rsid w:val="00C76F14"/>
    <w:rsid w:val="00C80ACE"/>
    <w:rsid w:val="00C85A32"/>
    <w:rsid w:val="00C932A5"/>
    <w:rsid w:val="00C939FC"/>
    <w:rsid w:val="00C959D9"/>
    <w:rsid w:val="00CA1A95"/>
    <w:rsid w:val="00CA1FB3"/>
    <w:rsid w:val="00CA33FD"/>
    <w:rsid w:val="00CA431F"/>
    <w:rsid w:val="00CA5735"/>
    <w:rsid w:val="00CA731D"/>
    <w:rsid w:val="00CB6105"/>
    <w:rsid w:val="00CC154D"/>
    <w:rsid w:val="00CC41DD"/>
    <w:rsid w:val="00CC6B13"/>
    <w:rsid w:val="00CD5E99"/>
    <w:rsid w:val="00CE09F2"/>
    <w:rsid w:val="00CE36DD"/>
    <w:rsid w:val="00CE4406"/>
    <w:rsid w:val="00CE592E"/>
    <w:rsid w:val="00CE7183"/>
    <w:rsid w:val="00CF4B65"/>
    <w:rsid w:val="00CF4E6D"/>
    <w:rsid w:val="00CF641B"/>
    <w:rsid w:val="00D15761"/>
    <w:rsid w:val="00D21A6D"/>
    <w:rsid w:val="00D24082"/>
    <w:rsid w:val="00D25659"/>
    <w:rsid w:val="00D26914"/>
    <w:rsid w:val="00D26EDD"/>
    <w:rsid w:val="00D31A91"/>
    <w:rsid w:val="00D32108"/>
    <w:rsid w:val="00D35838"/>
    <w:rsid w:val="00D367E2"/>
    <w:rsid w:val="00D37068"/>
    <w:rsid w:val="00D40355"/>
    <w:rsid w:val="00D40CA3"/>
    <w:rsid w:val="00D428A9"/>
    <w:rsid w:val="00D44F0C"/>
    <w:rsid w:val="00D46820"/>
    <w:rsid w:val="00D47C9E"/>
    <w:rsid w:val="00D55DB2"/>
    <w:rsid w:val="00D572A5"/>
    <w:rsid w:val="00D57340"/>
    <w:rsid w:val="00D57DB5"/>
    <w:rsid w:val="00D62E9D"/>
    <w:rsid w:val="00D65C01"/>
    <w:rsid w:val="00D66512"/>
    <w:rsid w:val="00D700B6"/>
    <w:rsid w:val="00D71AB5"/>
    <w:rsid w:val="00D72F78"/>
    <w:rsid w:val="00D74BBB"/>
    <w:rsid w:val="00D767B9"/>
    <w:rsid w:val="00D801A2"/>
    <w:rsid w:val="00D803B1"/>
    <w:rsid w:val="00D84ABE"/>
    <w:rsid w:val="00D8771C"/>
    <w:rsid w:val="00D92058"/>
    <w:rsid w:val="00D92DCE"/>
    <w:rsid w:val="00D963A5"/>
    <w:rsid w:val="00DA1605"/>
    <w:rsid w:val="00DA2D02"/>
    <w:rsid w:val="00DA6B0D"/>
    <w:rsid w:val="00DA7E0D"/>
    <w:rsid w:val="00DB2643"/>
    <w:rsid w:val="00DB4C65"/>
    <w:rsid w:val="00DB7760"/>
    <w:rsid w:val="00DC26A6"/>
    <w:rsid w:val="00DD29C8"/>
    <w:rsid w:val="00DD4035"/>
    <w:rsid w:val="00DD6720"/>
    <w:rsid w:val="00DE0462"/>
    <w:rsid w:val="00DE4A0C"/>
    <w:rsid w:val="00DE59E6"/>
    <w:rsid w:val="00DE5AC2"/>
    <w:rsid w:val="00DE77DC"/>
    <w:rsid w:val="00DF0988"/>
    <w:rsid w:val="00DF0F05"/>
    <w:rsid w:val="00DF1163"/>
    <w:rsid w:val="00DF27EA"/>
    <w:rsid w:val="00DF2DAA"/>
    <w:rsid w:val="00DF3200"/>
    <w:rsid w:val="00DF551D"/>
    <w:rsid w:val="00DF7258"/>
    <w:rsid w:val="00E002C4"/>
    <w:rsid w:val="00E06DD6"/>
    <w:rsid w:val="00E10BF0"/>
    <w:rsid w:val="00E10FCD"/>
    <w:rsid w:val="00E16632"/>
    <w:rsid w:val="00E171A3"/>
    <w:rsid w:val="00E3058B"/>
    <w:rsid w:val="00E34499"/>
    <w:rsid w:val="00E36602"/>
    <w:rsid w:val="00E36D6E"/>
    <w:rsid w:val="00E411B9"/>
    <w:rsid w:val="00E42ED4"/>
    <w:rsid w:val="00E45858"/>
    <w:rsid w:val="00E53297"/>
    <w:rsid w:val="00E54FAC"/>
    <w:rsid w:val="00E565D8"/>
    <w:rsid w:val="00E60701"/>
    <w:rsid w:val="00E60E83"/>
    <w:rsid w:val="00E62F71"/>
    <w:rsid w:val="00E6460A"/>
    <w:rsid w:val="00E668D1"/>
    <w:rsid w:val="00E66ADF"/>
    <w:rsid w:val="00E723D8"/>
    <w:rsid w:val="00E74B22"/>
    <w:rsid w:val="00E77094"/>
    <w:rsid w:val="00E770FD"/>
    <w:rsid w:val="00E77DF9"/>
    <w:rsid w:val="00E8192C"/>
    <w:rsid w:val="00E90900"/>
    <w:rsid w:val="00E90AE2"/>
    <w:rsid w:val="00E956BA"/>
    <w:rsid w:val="00EA13E1"/>
    <w:rsid w:val="00EA1454"/>
    <w:rsid w:val="00EA367E"/>
    <w:rsid w:val="00EA4145"/>
    <w:rsid w:val="00EA4D2C"/>
    <w:rsid w:val="00EA6ED9"/>
    <w:rsid w:val="00EB0785"/>
    <w:rsid w:val="00EB25C3"/>
    <w:rsid w:val="00EB6CAB"/>
    <w:rsid w:val="00EC31DF"/>
    <w:rsid w:val="00EC3253"/>
    <w:rsid w:val="00EC374F"/>
    <w:rsid w:val="00EC51D3"/>
    <w:rsid w:val="00EC6041"/>
    <w:rsid w:val="00EC67EE"/>
    <w:rsid w:val="00EC75D5"/>
    <w:rsid w:val="00ED2B1C"/>
    <w:rsid w:val="00ED2F2C"/>
    <w:rsid w:val="00ED3FF8"/>
    <w:rsid w:val="00EE33A9"/>
    <w:rsid w:val="00EE4B2E"/>
    <w:rsid w:val="00EF17B5"/>
    <w:rsid w:val="00EF1D76"/>
    <w:rsid w:val="00EF42D1"/>
    <w:rsid w:val="00EF6C8F"/>
    <w:rsid w:val="00F0386E"/>
    <w:rsid w:val="00F05713"/>
    <w:rsid w:val="00F10129"/>
    <w:rsid w:val="00F11012"/>
    <w:rsid w:val="00F11CAC"/>
    <w:rsid w:val="00F16E0C"/>
    <w:rsid w:val="00F237E3"/>
    <w:rsid w:val="00F247F5"/>
    <w:rsid w:val="00F258C2"/>
    <w:rsid w:val="00F25A03"/>
    <w:rsid w:val="00F32511"/>
    <w:rsid w:val="00F3262E"/>
    <w:rsid w:val="00F32B13"/>
    <w:rsid w:val="00F36E8D"/>
    <w:rsid w:val="00F4304C"/>
    <w:rsid w:val="00F43273"/>
    <w:rsid w:val="00F45179"/>
    <w:rsid w:val="00F47FB0"/>
    <w:rsid w:val="00F506F4"/>
    <w:rsid w:val="00F52393"/>
    <w:rsid w:val="00F61A32"/>
    <w:rsid w:val="00F62B5A"/>
    <w:rsid w:val="00F64A2C"/>
    <w:rsid w:val="00F66557"/>
    <w:rsid w:val="00F67A59"/>
    <w:rsid w:val="00F76F90"/>
    <w:rsid w:val="00F77BB5"/>
    <w:rsid w:val="00F84418"/>
    <w:rsid w:val="00F85517"/>
    <w:rsid w:val="00F86EFC"/>
    <w:rsid w:val="00F93BBE"/>
    <w:rsid w:val="00FA43B7"/>
    <w:rsid w:val="00FA4635"/>
    <w:rsid w:val="00FB0C1C"/>
    <w:rsid w:val="00FD0BE7"/>
    <w:rsid w:val="00FD1062"/>
    <w:rsid w:val="00FD1ED2"/>
    <w:rsid w:val="00FD2AA8"/>
    <w:rsid w:val="00FE253A"/>
    <w:rsid w:val="00FE386A"/>
    <w:rsid w:val="00FE5603"/>
    <w:rsid w:val="00FE5858"/>
    <w:rsid w:val="00FE7CF5"/>
    <w:rsid w:val="00FF32E7"/>
    <w:rsid w:val="00FF7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301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Virginia Board for People with Disabilities"/>
    <w:qFormat/>
    <w:rsid w:val="0020776D"/>
    <w:rPr>
      <w:rFonts w:ascii="Minion Pro" w:eastAsia="Times New Roman" w:hAnsi="Minion Pro" w:cs="Times New Roman"/>
      <w:i/>
      <w:color w:val="003D6B"/>
      <w:sz w:val="24"/>
      <w:lang w:bidi="en-US"/>
    </w:rPr>
  </w:style>
  <w:style w:type="paragraph" w:styleId="Heading1">
    <w:name w:val="heading 1"/>
    <w:next w:val="Normal"/>
    <w:link w:val="Heading1Char"/>
    <w:uiPriority w:val="9"/>
    <w:qFormat/>
    <w:rsid w:val="002322A5"/>
    <w:pPr>
      <w:keepNext/>
      <w:keepLines/>
      <w:spacing w:line="320" w:lineRule="exact"/>
      <w:outlineLvl w:val="0"/>
    </w:pPr>
    <w:rPr>
      <w:rFonts w:ascii="Calibri" w:eastAsiaTheme="majorEastAsia" w:hAnsi="Calibri" w:cstheme="majorBidi"/>
      <w:b/>
      <w:bCs/>
      <w:color w:val="003D6B"/>
      <w:sz w:val="28"/>
      <w:szCs w:val="28"/>
    </w:rPr>
  </w:style>
  <w:style w:type="paragraph" w:styleId="Heading2">
    <w:name w:val="heading 2"/>
    <w:next w:val="Normal"/>
    <w:link w:val="Heading2Char"/>
    <w:uiPriority w:val="9"/>
    <w:unhideWhenUsed/>
    <w:qFormat/>
    <w:rsid w:val="002322A5"/>
    <w:pPr>
      <w:keepNext/>
      <w:keepLines/>
      <w:spacing w:line="320" w:lineRule="exact"/>
      <w:outlineLvl w:val="1"/>
    </w:pPr>
    <w:rPr>
      <w:rFonts w:ascii="Calibri" w:eastAsiaTheme="majorEastAsia" w:hAnsi="Calibri" w:cstheme="majorBidi"/>
      <w:b/>
      <w:bCs/>
      <w:color w:val="7FBA00"/>
      <w:sz w:val="28"/>
      <w:szCs w:val="26"/>
    </w:rPr>
  </w:style>
  <w:style w:type="paragraph" w:styleId="Heading3">
    <w:name w:val="heading 3"/>
    <w:basedOn w:val="Normal"/>
    <w:next w:val="Normal"/>
    <w:link w:val="Heading3Char"/>
    <w:uiPriority w:val="9"/>
    <w:semiHidden/>
    <w:unhideWhenUsed/>
    <w:qFormat/>
    <w:rsid w:val="008E281F"/>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Accent5">
    <w:name w:val="Light List Accent 5"/>
    <w:basedOn w:val="TableNormal"/>
    <w:uiPriority w:val="61"/>
    <w:rsid w:val="002E6E3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Subtitle">
    <w:name w:val="Subtitle"/>
    <w:next w:val="Normal"/>
    <w:link w:val="SubtitleChar"/>
    <w:uiPriority w:val="11"/>
    <w:qFormat/>
    <w:rsid w:val="002322A5"/>
    <w:pPr>
      <w:numPr>
        <w:ilvl w:val="1"/>
      </w:numPr>
      <w:spacing w:line="320" w:lineRule="exact"/>
    </w:pPr>
    <w:rPr>
      <w:rFonts w:ascii="Calibri" w:eastAsiaTheme="majorEastAsia" w:hAnsi="Calibri" w:cstheme="majorBidi"/>
      <w:i/>
      <w:iCs/>
      <w:color w:val="005B99"/>
      <w:spacing w:val="15"/>
      <w:sz w:val="28"/>
      <w:szCs w:val="24"/>
    </w:rPr>
  </w:style>
  <w:style w:type="character" w:customStyle="1" w:styleId="SubtitleChar">
    <w:name w:val="Subtitle Char"/>
    <w:basedOn w:val="DefaultParagraphFont"/>
    <w:link w:val="Subtitle"/>
    <w:uiPriority w:val="11"/>
    <w:rsid w:val="002322A5"/>
    <w:rPr>
      <w:rFonts w:ascii="Calibri" w:eastAsiaTheme="majorEastAsia" w:hAnsi="Calibri" w:cstheme="majorBidi"/>
      <w:i/>
      <w:iCs/>
      <w:color w:val="005B99"/>
      <w:spacing w:val="15"/>
      <w:sz w:val="28"/>
      <w:szCs w:val="24"/>
    </w:rPr>
  </w:style>
  <w:style w:type="paragraph" w:styleId="NoSpacing">
    <w:name w:val="No Spacing"/>
    <w:uiPriority w:val="1"/>
    <w:qFormat/>
    <w:rsid w:val="002322A5"/>
    <w:pPr>
      <w:spacing w:after="0" w:line="240" w:lineRule="auto"/>
      <w:contextualSpacing/>
    </w:pPr>
    <w:rPr>
      <w:rFonts w:ascii="Calibri" w:hAnsi="Calibri"/>
      <w:sz w:val="24"/>
    </w:rPr>
  </w:style>
  <w:style w:type="character" w:customStyle="1" w:styleId="Heading1Char">
    <w:name w:val="Heading 1 Char"/>
    <w:basedOn w:val="DefaultParagraphFont"/>
    <w:link w:val="Heading1"/>
    <w:uiPriority w:val="9"/>
    <w:rsid w:val="002322A5"/>
    <w:rPr>
      <w:rFonts w:ascii="Calibri" w:eastAsiaTheme="majorEastAsia" w:hAnsi="Calibri" w:cstheme="majorBidi"/>
      <w:b/>
      <w:bCs/>
      <w:color w:val="003D6B"/>
      <w:sz w:val="28"/>
      <w:szCs w:val="28"/>
    </w:rPr>
  </w:style>
  <w:style w:type="character" w:customStyle="1" w:styleId="Heading2Char">
    <w:name w:val="Heading 2 Char"/>
    <w:basedOn w:val="DefaultParagraphFont"/>
    <w:link w:val="Heading2"/>
    <w:uiPriority w:val="9"/>
    <w:rsid w:val="002322A5"/>
    <w:rPr>
      <w:rFonts w:ascii="Calibri" w:eastAsiaTheme="majorEastAsia" w:hAnsi="Calibri" w:cstheme="majorBidi"/>
      <w:b/>
      <w:bCs/>
      <w:color w:val="7FBA00"/>
      <w:sz w:val="28"/>
      <w:szCs w:val="26"/>
    </w:rPr>
  </w:style>
  <w:style w:type="paragraph" w:styleId="Title">
    <w:name w:val="Title"/>
    <w:next w:val="Normal"/>
    <w:link w:val="TitleChar"/>
    <w:uiPriority w:val="10"/>
    <w:qFormat/>
    <w:rsid w:val="002322A5"/>
    <w:pPr>
      <w:pBdr>
        <w:bottom w:val="single" w:sz="8" w:space="4" w:color="4F81BD" w:themeColor="accent1"/>
      </w:pBdr>
      <w:spacing w:after="0" w:line="600" w:lineRule="exact"/>
      <w:contextualSpacing/>
    </w:pPr>
    <w:rPr>
      <w:rFonts w:ascii="Calibri" w:eastAsiaTheme="majorEastAsia" w:hAnsi="Calibri" w:cstheme="majorBidi"/>
      <w:b/>
      <w:color w:val="005B99"/>
      <w:spacing w:val="5"/>
      <w:kern w:val="28"/>
      <w:sz w:val="48"/>
      <w:szCs w:val="52"/>
    </w:rPr>
  </w:style>
  <w:style w:type="character" w:customStyle="1" w:styleId="TitleChar">
    <w:name w:val="Title Char"/>
    <w:basedOn w:val="DefaultParagraphFont"/>
    <w:link w:val="Title"/>
    <w:uiPriority w:val="10"/>
    <w:rsid w:val="002322A5"/>
    <w:rPr>
      <w:rFonts w:ascii="Calibri" w:eastAsiaTheme="majorEastAsia" w:hAnsi="Calibri" w:cstheme="majorBidi"/>
      <w:b/>
      <w:color w:val="005B99"/>
      <w:spacing w:val="5"/>
      <w:kern w:val="28"/>
      <w:sz w:val="48"/>
      <w:szCs w:val="52"/>
    </w:rPr>
  </w:style>
  <w:style w:type="character" w:styleId="SubtleEmphasis">
    <w:name w:val="Subtle Emphasis"/>
    <w:basedOn w:val="DefaultParagraphFont"/>
    <w:uiPriority w:val="19"/>
    <w:qFormat/>
    <w:rsid w:val="002322A5"/>
    <w:rPr>
      <w:rFonts w:ascii="Calibri" w:hAnsi="Calibri"/>
      <w:iCs/>
      <w:color w:val="808080" w:themeColor="text1" w:themeTint="7F"/>
      <w:sz w:val="28"/>
    </w:rPr>
  </w:style>
  <w:style w:type="character" w:styleId="IntenseEmphasis">
    <w:name w:val="Intense Emphasis"/>
    <w:basedOn w:val="DefaultParagraphFont"/>
    <w:uiPriority w:val="21"/>
    <w:qFormat/>
    <w:rsid w:val="002322A5"/>
    <w:rPr>
      <w:rFonts w:ascii="Calibri" w:hAnsi="Calibri"/>
      <w:b/>
      <w:bCs/>
      <w:i/>
      <w:iCs/>
      <w:color w:val="4F81BD" w:themeColor="accent1"/>
      <w:sz w:val="24"/>
    </w:rPr>
  </w:style>
  <w:style w:type="character" w:styleId="Strong">
    <w:name w:val="Strong"/>
    <w:basedOn w:val="DefaultParagraphFont"/>
    <w:uiPriority w:val="22"/>
    <w:qFormat/>
    <w:rsid w:val="002322A5"/>
    <w:rPr>
      <w:rFonts w:ascii="Calibri" w:hAnsi="Calibri"/>
      <w:b/>
      <w:bCs/>
      <w:sz w:val="24"/>
    </w:rPr>
  </w:style>
  <w:style w:type="paragraph" w:styleId="ListParagraph">
    <w:name w:val="List Paragraph"/>
    <w:basedOn w:val="Normal"/>
    <w:uiPriority w:val="34"/>
    <w:qFormat/>
    <w:rsid w:val="002322A5"/>
    <w:pPr>
      <w:ind w:left="720"/>
    </w:pPr>
  </w:style>
  <w:style w:type="paragraph" w:styleId="Header">
    <w:name w:val="header"/>
    <w:basedOn w:val="Normal"/>
    <w:link w:val="HeaderChar"/>
    <w:unhideWhenUsed/>
    <w:rsid w:val="0020776D"/>
    <w:pPr>
      <w:tabs>
        <w:tab w:val="center" w:pos="4680"/>
        <w:tab w:val="right" w:pos="9360"/>
      </w:tabs>
      <w:spacing w:line="240" w:lineRule="auto"/>
    </w:pPr>
  </w:style>
  <w:style w:type="character" w:customStyle="1" w:styleId="HeaderChar">
    <w:name w:val="Header Char"/>
    <w:basedOn w:val="DefaultParagraphFont"/>
    <w:link w:val="Header"/>
    <w:uiPriority w:val="99"/>
    <w:rsid w:val="0020776D"/>
    <w:rPr>
      <w:rFonts w:ascii="Calibri" w:hAnsi="Calibri"/>
      <w:sz w:val="24"/>
    </w:rPr>
  </w:style>
  <w:style w:type="paragraph" w:styleId="Footer">
    <w:name w:val="footer"/>
    <w:basedOn w:val="Normal"/>
    <w:link w:val="FooterChar"/>
    <w:unhideWhenUsed/>
    <w:rsid w:val="0020776D"/>
    <w:pPr>
      <w:tabs>
        <w:tab w:val="center" w:pos="4680"/>
        <w:tab w:val="right" w:pos="9360"/>
      </w:tabs>
      <w:spacing w:line="240" w:lineRule="auto"/>
    </w:pPr>
  </w:style>
  <w:style w:type="character" w:customStyle="1" w:styleId="FooterChar">
    <w:name w:val="Footer Char"/>
    <w:basedOn w:val="DefaultParagraphFont"/>
    <w:link w:val="Footer"/>
    <w:uiPriority w:val="99"/>
    <w:rsid w:val="0020776D"/>
    <w:rPr>
      <w:rFonts w:ascii="Calibri" w:hAnsi="Calibri"/>
      <w:sz w:val="24"/>
    </w:rPr>
  </w:style>
  <w:style w:type="paragraph" w:customStyle="1" w:styleId="Commonwealth">
    <w:name w:val="Commonwealth"/>
    <w:basedOn w:val="Normal"/>
    <w:link w:val="CommonwealthChar"/>
    <w:qFormat/>
    <w:rsid w:val="0020776D"/>
    <w:pPr>
      <w:tabs>
        <w:tab w:val="center" w:pos="4680"/>
      </w:tabs>
      <w:spacing w:after="0"/>
    </w:pPr>
    <w:rPr>
      <w:rFonts w:ascii="Copperplate Gothic Light" w:eastAsia="Calibri" w:hAnsi="Copperplate Gothic Light" w:cs="Arial"/>
      <w:i w:val="0"/>
      <w:color w:val="00539F"/>
      <w:szCs w:val="24"/>
      <w:lang w:bidi="ar-SA"/>
    </w:rPr>
  </w:style>
  <w:style w:type="character" w:customStyle="1" w:styleId="CommonwealthChar">
    <w:name w:val="Commonwealth Char"/>
    <w:basedOn w:val="DefaultParagraphFont"/>
    <w:link w:val="Commonwealth"/>
    <w:rsid w:val="0020776D"/>
    <w:rPr>
      <w:rFonts w:ascii="Copperplate Gothic Light" w:eastAsia="Calibri" w:hAnsi="Copperplate Gothic Light" w:cs="Arial"/>
      <w:color w:val="00539F"/>
      <w:sz w:val="24"/>
      <w:szCs w:val="24"/>
    </w:rPr>
  </w:style>
  <w:style w:type="paragraph" w:customStyle="1" w:styleId="VBPDHeaderInfo">
    <w:name w:val="VBPD Header Info"/>
    <w:basedOn w:val="Normal"/>
    <w:link w:val="VBPDHeaderInfoChar"/>
    <w:rsid w:val="0020776D"/>
    <w:pPr>
      <w:spacing w:after="0" w:line="200" w:lineRule="exact"/>
    </w:pPr>
    <w:rPr>
      <w:rFonts w:ascii="Calibri" w:eastAsia="Calibri" w:hAnsi="Calibri"/>
      <w:color w:val="365F91"/>
      <w:sz w:val="20"/>
      <w:szCs w:val="20"/>
      <w:lang w:bidi="ar-SA"/>
    </w:rPr>
  </w:style>
  <w:style w:type="character" w:customStyle="1" w:styleId="VBPDHeaderInfoChar">
    <w:name w:val="VBPD Header Info Char"/>
    <w:basedOn w:val="DefaultParagraphFont"/>
    <w:link w:val="VBPDHeaderInfo"/>
    <w:rsid w:val="0020776D"/>
    <w:rPr>
      <w:rFonts w:ascii="Calibri" w:eastAsia="Calibri" w:hAnsi="Calibri" w:cs="Times New Roman"/>
      <w:i/>
      <w:color w:val="365F91"/>
      <w:sz w:val="20"/>
      <w:szCs w:val="20"/>
    </w:rPr>
  </w:style>
  <w:style w:type="paragraph" w:styleId="BodyTextIndent">
    <w:name w:val="Body Text Indent"/>
    <w:basedOn w:val="Normal"/>
    <w:link w:val="BodyTextIndentChar"/>
    <w:rsid w:val="00307A75"/>
    <w:pPr>
      <w:spacing w:after="0" w:line="240" w:lineRule="auto"/>
      <w:ind w:firstLine="720"/>
    </w:pPr>
    <w:rPr>
      <w:rFonts w:ascii="Times New Roman" w:hAnsi="Times New Roman"/>
      <w:i w:val="0"/>
      <w:color w:val="auto"/>
      <w:szCs w:val="20"/>
      <w:lang w:bidi="ar-SA"/>
    </w:rPr>
  </w:style>
  <w:style w:type="character" w:customStyle="1" w:styleId="BodyTextIndentChar">
    <w:name w:val="Body Text Indent Char"/>
    <w:basedOn w:val="DefaultParagraphFont"/>
    <w:link w:val="BodyTextIndent"/>
    <w:rsid w:val="00307A75"/>
    <w:rPr>
      <w:rFonts w:ascii="Times New Roman" w:eastAsia="Times New Roman" w:hAnsi="Times New Roman" w:cs="Times New Roman"/>
      <w:sz w:val="24"/>
      <w:szCs w:val="20"/>
    </w:rPr>
  </w:style>
  <w:style w:type="character" w:styleId="Hyperlink">
    <w:name w:val="Hyperlink"/>
    <w:basedOn w:val="DefaultParagraphFont"/>
    <w:rsid w:val="00307A75"/>
    <w:rPr>
      <w:color w:val="0000FF"/>
      <w:u w:val="single"/>
    </w:rPr>
  </w:style>
  <w:style w:type="paragraph" w:styleId="BalloonText">
    <w:name w:val="Balloon Text"/>
    <w:basedOn w:val="Normal"/>
    <w:link w:val="BalloonTextChar"/>
    <w:uiPriority w:val="99"/>
    <w:semiHidden/>
    <w:unhideWhenUsed/>
    <w:rsid w:val="005407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789"/>
    <w:rPr>
      <w:rFonts w:ascii="Tahoma" w:eastAsia="Times New Roman" w:hAnsi="Tahoma" w:cs="Tahoma"/>
      <w:i/>
      <w:color w:val="003D6B"/>
      <w:sz w:val="16"/>
      <w:szCs w:val="16"/>
      <w:lang w:bidi="en-US"/>
    </w:rPr>
  </w:style>
  <w:style w:type="character" w:styleId="CommentReference">
    <w:name w:val="annotation reference"/>
    <w:basedOn w:val="DefaultParagraphFont"/>
    <w:uiPriority w:val="99"/>
    <w:semiHidden/>
    <w:unhideWhenUsed/>
    <w:rsid w:val="008F5A09"/>
    <w:rPr>
      <w:sz w:val="16"/>
      <w:szCs w:val="16"/>
    </w:rPr>
  </w:style>
  <w:style w:type="paragraph" w:styleId="CommentText">
    <w:name w:val="annotation text"/>
    <w:basedOn w:val="Normal"/>
    <w:link w:val="CommentTextChar"/>
    <w:uiPriority w:val="99"/>
    <w:unhideWhenUsed/>
    <w:rsid w:val="008F5A09"/>
    <w:pPr>
      <w:spacing w:line="240" w:lineRule="auto"/>
    </w:pPr>
    <w:rPr>
      <w:sz w:val="20"/>
      <w:szCs w:val="20"/>
    </w:rPr>
  </w:style>
  <w:style w:type="character" w:customStyle="1" w:styleId="CommentTextChar">
    <w:name w:val="Comment Text Char"/>
    <w:basedOn w:val="DefaultParagraphFont"/>
    <w:link w:val="CommentText"/>
    <w:uiPriority w:val="99"/>
    <w:rsid w:val="008F5A09"/>
    <w:rPr>
      <w:rFonts w:ascii="Minion Pro" w:eastAsia="Times New Roman" w:hAnsi="Minion Pro" w:cs="Times New Roman"/>
      <w:i/>
      <w:color w:val="003D6B"/>
      <w:sz w:val="20"/>
      <w:szCs w:val="20"/>
      <w:lang w:bidi="en-US"/>
    </w:rPr>
  </w:style>
  <w:style w:type="paragraph" w:styleId="CommentSubject">
    <w:name w:val="annotation subject"/>
    <w:basedOn w:val="CommentText"/>
    <w:next w:val="CommentText"/>
    <w:link w:val="CommentSubjectChar"/>
    <w:uiPriority w:val="99"/>
    <w:semiHidden/>
    <w:unhideWhenUsed/>
    <w:rsid w:val="008F5A09"/>
    <w:rPr>
      <w:b/>
      <w:bCs/>
    </w:rPr>
  </w:style>
  <w:style w:type="character" w:customStyle="1" w:styleId="CommentSubjectChar">
    <w:name w:val="Comment Subject Char"/>
    <w:basedOn w:val="CommentTextChar"/>
    <w:link w:val="CommentSubject"/>
    <w:uiPriority w:val="99"/>
    <w:semiHidden/>
    <w:rsid w:val="008F5A09"/>
    <w:rPr>
      <w:rFonts w:ascii="Minion Pro" w:eastAsia="Times New Roman" w:hAnsi="Minion Pro" w:cs="Times New Roman"/>
      <w:b/>
      <w:bCs/>
      <w:i/>
      <w:color w:val="003D6B"/>
      <w:sz w:val="20"/>
      <w:szCs w:val="20"/>
      <w:lang w:bidi="en-US"/>
    </w:rPr>
  </w:style>
  <w:style w:type="paragraph" w:styleId="PlainText">
    <w:name w:val="Plain Text"/>
    <w:basedOn w:val="Normal"/>
    <w:link w:val="PlainTextChar"/>
    <w:uiPriority w:val="99"/>
    <w:unhideWhenUsed/>
    <w:rsid w:val="00B73D8E"/>
    <w:pPr>
      <w:spacing w:after="0" w:line="240" w:lineRule="auto"/>
    </w:pPr>
    <w:rPr>
      <w:rFonts w:ascii="Calibri" w:eastAsiaTheme="minorHAnsi" w:hAnsi="Calibri" w:cstheme="minorBidi"/>
      <w:i w:val="0"/>
      <w:color w:val="auto"/>
      <w:szCs w:val="24"/>
      <w:lang w:bidi="ar-SA"/>
    </w:rPr>
  </w:style>
  <w:style w:type="character" w:customStyle="1" w:styleId="PlainTextChar">
    <w:name w:val="Plain Text Char"/>
    <w:basedOn w:val="DefaultParagraphFont"/>
    <w:link w:val="PlainText"/>
    <w:uiPriority w:val="99"/>
    <w:rsid w:val="00B73D8E"/>
    <w:rPr>
      <w:rFonts w:ascii="Calibri" w:hAnsi="Calibri"/>
      <w:sz w:val="24"/>
      <w:szCs w:val="24"/>
    </w:rPr>
  </w:style>
  <w:style w:type="paragraph" w:customStyle="1" w:styleId="Default">
    <w:name w:val="Default"/>
    <w:rsid w:val="00F32511"/>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D37068"/>
    <w:pPr>
      <w:spacing w:after="0" w:line="240" w:lineRule="auto"/>
    </w:pPr>
    <w:rPr>
      <w:rFonts w:ascii="Minion Pro" w:eastAsia="Times New Roman" w:hAnsi="Minion Pro" w:cs="Times New Roman"/>
      <w:i/>
      <w:color w:val="003D6B"/>
      <w:sz w:val="24"/>
      <w:lang w:bidi="en-US"/>
    </w:rPr>
  </w:style>
  <w:style w:type="character" w:customStyle="1" w:styleId="Heading3Char">
    <w:name w:val="Heading 3 Char"/>
    <w:basedOn w:val="DefaultParagraphFont"/>
    <w:link w:val="Heading3"/>
    <w:uiPriority w:val="9"/>
    <w:semiHidden/>
    <w:rsid w:val="008E281F"/>
    <w:rPr>
      <w:rFonts w:asciiTheme="majorHAnsi" w:eastAsiaTheme="majorEastAsia" w:hAnsiTheme="majorHAnsi" w:cstheme="majorBidi"/>
      <w:i/>
      <w:color w:val="243F60" w:themeColor="accent1" w:themeShade="7F"/>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025264">
      <w:bodyDiv w:val="1"/>
      <w:marLeft w:val="0"/>
      <w:marRight w:val="0"/>
      <w:marTop w:val="0"/>
      <w:marBottom w:val="0"/>
      <w:divBdr>
        <w:top w:val="none" w:sz="0" w:space="0" w:color="auto"/>
        <w:left w:val="none" w:sz="0" w:space="0" w:color="auto"/>
        <w:bottom w:val="none" w:sz="0" w:space="0" w:color="auto"/>
        <w:right w:val="none" w:sz="0" w:space="0" w:color="auto"/>
      </w:divBdr>
    </w:div>
    <w:div w:id="683553276">
      <w:bodyDiv w:val="1"/>
      <w:marLeft w:val="0"/>
      <w:marRight w:val="0"/>
      <w:marTop w:val="0"/>
      <w:marBottom w:val="0"/>
      <w:divBdr>
        <w:top w:val="none" w:sz="0" w:space="0" w:color="auto"/>
        <w:left w:val="none" w:sz="0" w:space="0" w:color="auto"/>
        <w:bottom w:val="none" w:sz="0" w:space="0" w:color="auto"/>
        <w:right w:val="none" w:sz="0" w:space="0" w:color="auto"/>
      </w:divBdr>
    </w:div>
    <w:div w:id="1235314631">
      <w:bodyDiv w:val="1"/>
      <w:marLeft w:val="0"/>
      <w:marRight w:val="0"/>
      <w:marTop w:val="0"/>
      <w:marBottom w:val="0"/>
      <w:divBdr>
        <w:top w:val="none" w:sz="0" w:space="0" w:color="auto"/>
        <w:left w:val="none" w:sz="0" w:space="0" w:color="auto"/>
        <w:bottom w:val="none" w:sz="0" w:space="0" w:color="auto"/>
        <w:right w:val="none" w:sz="0" w:space="0" w:color="auto"/>
      </w:divBdr>
    </w:div>
    <w:div w:id="1691906691">
      <w:bodyDiv w:val="1"/>
      <w:marLeft w:val="0"/>
      <w:marRight w:val="0"/>
      <w:marTop w:val="0"/>
      <w:marBottom w:val="0"/>
      <w:divBdr>
        <w:top w:val="none" w:sz="0" w:space="0" w:color="auto"/>
        <w:left w:val="none" w:sz="0" w:space="0" w:color="auto"/>
        <w:bottom w:val="none" w:sz="0" w:space="0" w:color="auto"/>
        <w:right w:val="none" w:sz="0" w:space="0" w:color="auto"/>
      </w:divBdr>
      <w:divsChild>
        <w:div w:id="1191407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customXml" Target="../customXml/item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HCBSComments@dmas.virginia.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83348A73B2104AA43CA6202EED0D55" ma:contentTypeVersion="8" ma:contentTypeDescription="Create a new document." ma:contentTypeScope="" ma:versionID="037d21975d4ce9f2f89b13f0e095aaaf">
  <xsd:schema xmlns:xsd="http://www.w3.org/2001/XMLSchema" xmlns:xs="http://www.w3.org/2001/XMLSchema" xmlns:p="http://schemas.microsoft.com/office/2006/metadata/properties" xmlns:ns1="http://schemas.microsoft.com/sharepoint/v3" xmlns:ns2="89461f00-0b74-46d7-ba90-7a84aa4e2ee4" targetNamespace="http://schemas.microsoft.com/office/2006/metadata/properties" ma:root="true" ma:fieldsID="b83eddf13b62b192c49b39a69bfd457d" ns1:_="" ns2:_="">
    <xsd:import namespace="http://schemas.microsoft.com/sharepoint/v3"/>
    <xsd:import namespace="89461f00-0b74-46d7-ba90-7a84aa4e2ee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461f00-0b74-46d7-ba90-7a84aa4e2ee4"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89461f00-0b74-46d7-ba90-7a84aa4e2ee4">NKAHMF2WWKTP-399312027-2137</_dlc_DocId>
    <_dlc_DocIdUrl xmlns="89461f00-0b74-46d7-ba90-7a84aa4e2ee4">
      <Url>https://sharepoint.wwrc.net/VBPDdocs/_layouts/15/DocIdRedir.aspx?ID=NKAHMF2WWKTP-399312027-2137</Url>
      <Description>NKAHMF2WWKTP-399312027-2137</Description>
    </_dlc_DocIdUrl>
  </documentManagement>
</p:properties>
</file>

<file path=customXml/itemProps1.xml><?xml version="1.0" encoding="utf-8"?>
<ds:datastoreItem xmlns:ds="http://schemas.openxmlformats.org/officeDocument/2006/customXml" ds:itemID="{12FF0134-00EA-40CD-B64D-D46F128F3B56}"/>
</file>

<file path=customXml/itemProps2.xml><?xml version="1.0" encoding="utf-8"?>
<ds:datastoreItem xmlns:ds="http://schemas.openxmlformats.org/officeDocument/2006/customXml" ds:itemID="{EF36F3CC-E6BF-457E-8C1F-C228641197CD}"/>
</file>

<file path=customXml/itemProps3.xml><?xml version="1.0" encoding="utf-8"?>
<ds:datastoreItem xmlns:ds="http://schemas.openxmlformats.org/officeDocument/2006/customXml" ds:itemID="{27964484-6291-42BA-841C-4D838F33F630}"/>
</file>

<file path=customXml/itemProps4.xml><?xml version="1.0" encoding="utf-8"?>
<ds:datastoreItem xmlns:ds="http://schemas.openxmlformats.org/officeDocument/2006/customXml" ds:itemID="{EF36F3CC-E6BF-457E-8C1F-C228641197CD}"/>
</file>

<file path=customXml/itemProps5.xml><?xml version="1.0" encoding="utf-8"?>
<ds:datastoreItem xmlns:ds="http://schemas.openxmlformats.org/officeDocument/2006/customXml" ds:itemID="{64A93B8B-BDD0-4C91-92E3-F24894C9A50C}"/>
</file>

<file path=customXml/itemProps6.xml><?xml version="1.0" encoding="utf-8"?>
<ds:datastoreItem xmlns:ds="http://schemas.openxmlformats.org/officeDocument/2006/customXml" ds:itemID="{BBE5D141-C50E-444F-AA52-1D58E17AA816}"/>
</file>

<file path=docProps/app.xml><?xml version="1.0" encoding="utf-8"?>
<Properties xmlns="http://schemas.openxmlformats.org/officeDocument/2006/extended-properties" xmlns:vt="http://schemas.openxmlformats.org/officeDocument/2006/docPropsVTypes">
  <Template>Normal</Template>
  <TotalTime>0</TotalTime>
  <Pages>15</Pages>
  <Words>6528</Words>
  <Characters>37214</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2019-03-20T11:22:00Z</dcterms:created>
  <dcterms:modified xsi:type="dcterms:W3CDTF">2019-03-20T17:14:00Z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0x0101009A83348A73B2104AA43CA6202EED0D55</vt:lpwstr>
  </property>
  <property fmtid="{D5CDD505-2E9C-101B-9397-08002B2CF9AE}" pid="3" name="_dlc_DocIdItemGuid">
    <vt:lpwstr>96d26312-31a1-416e-9bed-733a300fcb71</vt:lpwstr>
  </property>
</Properties>
</file>